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PE17.002254 vom 19. Februar 2018</w:t>
      </w:r>
    </w:p>
    <w:p>
      <w:r>
        <w:t>VD Tribunal cantonal, 2018-02-19, FR</w:t>
      </w:r>
    </w:p>
    <w:p>
      <w:r>
        <w:rPr>
          <w:b/>
        </w:rPr>
        <w:t xml:space="preserve">Quelle: </w:t>
      </w:r>
      <w:r>
        <w:t>https://mcp.opencaselaw.ch/entscheid/vd_gerichte_PE17.002254</w:t>
      </w:r>
    </w:p>
    <w:p>
      <w:r>
        <w:t>FR: VD_GERICHTE PE17.002254 du 19 février 2018</w:t>
      </w:r>
    </w:p>
    <w:p>
      <w:r>
        <w:t>IT: VD_GERICHTE PE17.002254 del 19 febbraio 2018</w:t>
      </w:r>
    </w:p>
    <w:p>
      <w:pPr>
        <w:pStyle w:val="Heading2"/>
      </w:pPr>
      <w:r>
        <w:t>Erwägungen</w:t>
      </w:r>
    </w:p>
    <w:p>
      <w:r>
        <w:rPr>
          <w:b/>
        </w:rPr>
        <w:t>E. 5</w:t>
      </w:r>
    </w:p>
    <w:p>
      <w:r>
        <w:t>Il convient dès lors d’examiner la question de la peine prononcée.</w:t>
      </w:r>
    </w:p>
    <w:p>
      <w:r>
        <w:rPr>
          <w:b/>
        </w:rPr>
        <w:t>E. 5.1</w:t>
      </w:r>
    </w:p>
    <w:p>
      <w:r>
        <w:t>Selon l’art. 89 al. 6, 1re phrase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doit ainsi fixer la peine conformément au principe de l’absorption (Asperationsprinzip), par opposition au principe du cumul (Kumulationsprinzip) ; concrètement,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(ATF 135 IV 146 consid. 2.4.1).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w:t>
      </w:r>
    </w:p>
    <w:p>
      <w:r>
        <w:t>- 20 -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5.3 ; ATF 134 IV 17 consid. 2.1 ; ATF 129 IV 6 consid. 6.1). Les principes qui président à la fixation de la peine en cas de diminution de la responsabilité (art. 19 al. 2 CP) ont été développés dans l’arrêt publié aux ATF 136 IV 55 : une diminution de la responsabilité au sens de cette disposition conduit à une diminution de la faute et non de la peine. La réduction de celle-ci n’est que la conséquence de la faute plus légère (consid. 5.5, pp. 59 s.).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de diminution moyenne et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(consid. 5.6, pp. 60 ss).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w:t>
      </w:r>
    </w:p>
    <w:p>
      <w:r>
        <w:t>- 21 -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(consid. 5.7, pp. 62 s. ; TF 6B_975/2015 du 7 avril 2016 consid. 6.1).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 En présence d’un concours rétrospectif, le juge doit exceptionnellement exposer au moyen de chiffres comment il a fixé la peine qu’il prononce (ATF 142 IV 265 précité ; ATF 132 IV 102 consid. 8.3).</w:t>
      </w:r>
    </w:p>
    <w:p>
      <w:r>
        <w:rPr>
          <w:b/>
        </w:rPr>
        <w:t>E. 5.2</w:t>
      </w:r>
    </w:p>
    <w:p>
      <w:r>
        <w:t>En l’espèce, la Cour de céans retient, à l’instar des premiers juges, que les faits concernés sont graves, spécifiquement au regard de l’importance du bien juridique protégé, soit la libre détermination en matière sexuelle et le droit à l’intégrité sexuelle. L’intimé a agi par pur mobile égoïste, soit dans le but de satisfaire ses pulsions, en faisant fi de l’impact de ses agissements sur sa victime, qui reste aujourd’hui encore marquée par les événements. Il faut également tenir compte des nombreux antécédents de l’intéressé, dont l’un concerne spécifiquement</w:t>
      </w:r>
    </w:p>
    <w:p>
      <w:r>
        <w:t>- 22 - un cas semblable de contrainte sexuelle en 2014 et du fait qu’il a commis de nouveaux actes à peine sorti de prison en octobre 2015. La culpabilité de l’intimé est donc manifestement lourde. Elle ne sera toutefois qualifiée que de moyennement lourde compte tenu de la légère diminution de responsabilité liée à un fonctionnement intellectuel de niveau limite, attestée par les experts dans leurs rapports des 12 mars et 8 mai 2014 (P. 8/1, p. 6 et 8/2, p. 3). A décharge, la Cour de céans prend en considération, tout comme les premiers juges, les regrets manifestés et les excuses présentées en cours d’enquête ainsi qu’aux débats de première et deuxième instance, qui ont paru sincères. La bonne collaboration de l’intimé sera également retenue. Au vu du passé judiciaire de l’intimé, une peine privative de liberté s’impose pour sanctionner la contrainte sexuelle. Il faut dès lors tenir compte du fait que le Ministère public de l’arrondissement de Lausanne a, par ordonnance pénale du 3 mars 2017, soit postérieurement aux faits de la présente cause, condamné l’intimé pour violation simple des règles de la circulation routière et conduite d’un véhicule automobile sans permis de conduire à une peine privative de liberté de 60 jours notamment (P. 18). On admettra que si toutes les infractions avaient été jugées ensemble, c’est une peine privative de liberté de 12 mois qui aurait été prononcée. Une peine complémentaire de 10 mois se justifie dès lors dans le cadre de la présente affaire. Cette peine de 10 mois doit encore être augmentée pour tenir compte du solde de 5 mois et 12 jours à exécuter en raison de la révocation de la libération conditionnelle. Ainsi, en définitive, c’est une peine d’ensemble de 14 mois, complémentaire à celle infligée par le Ministère public de l’arrondissement de Lausanne le 3 mars 2017, qui doit être prononcée.</w:t>
      </w:r>
    </w:p>
    <w:p>
      <w:r>
        <w:t>- 23 - La peine d’amende prononcée pour sanctionner la contravention à la loi fédérale sur les stupéfiants, d’un montant de 300 fr., est adéquate et doit être confirmée.</w:t>
      </w:r>
    </w:p>
    <w:p>
      <w:r>
        <w:rPr>
          <w:b/>
        </w:rPr>
        <w:t>E. 6</w:t>
      </w:r>
    </w:p>
    <w:p>
      <w:r>
        <w:t>En définitive, l’appel du Ministère public doit être admis et le jugement entrepris réformé dans le sens des considérants qui précèdent, ledit jugement étant maintenu pour le surplus. La liste des opérations produite par Me Samuel Pahud, défenseur d’office de Z.________, fait état de 9.6 heures d’activité d’avocat, dont 3.75 heures pour l’étude du dossier et la préparation de l’audience d’appel et 1.25 heure pour l’audience d’appel et un bref entretien avec son client, ainsi que de débours à hauteur de 134 fr. 65, vacation comprise. Dans la mesure où le défenseur d’office avait déjà acquis une parfaite connaissance du dossier en première instance, le temps allégué apparaît légèrement excessif. Le temps consacré à l’étude du dossier et à la préparation de l’audience d’appel doit ainsi être réduit à 3.4 heures et il doit être tenu compte du temps effectif de l’audience d’appel, qui a duré moins d’une heure. Il convient par conséquent de retenir 9 heures d’activité d’avocat au tarif horaire de 180 fr. et de fixer l’indemnité de défenseur d’office de Me Samuel Pahud pour la procédure d’appel à 1'889 fr. 75 (1’620 fr. [honoraires] + 120 fr. [vacation] + 14 fr. 65 [débours] + 135 fr. 10 [TVA]). Vu l’issue de la cause, les frais de la procédure d’appel, comprenant l’émolument de jugement par 2’050 fr. (art. 21 al. 1 et 2 TFIP [Tarif des frais de procédure et indemnités en matière pénale du 28 septembre 2010 ; RSV 312.03.1]), ainsi que l’indemnité de 1'889 fr. 75 allouée à Me Samuel Pahud, soit au total 3'939 fr. 75, seront mis à la charge de Z.________, qui succombe dès lors qu’il a conclu au rejet de l’appel (art. 428 al. 1 CPP). Z.________ ne sera tenu de rembourser à l'Etat le montant de l’indemnité allouée à son défenseur d’office que lorsque sa situation financière le permettra (art. 135 al. 4 let. a CPP).</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