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PE17.002180 vom 8. März 2017</w:t>
      </w:r>
    </w:p>
    <w:p>
      <w:r>
        <w:t>VD Tribunal cantonal, 2017-03-08, FR</w:t>
      </w:r>
    </w:p>
    <w:p>
      <w:r>
        <w:rPr>
          <w:b/>
        </w:rPr>
        <w:t xml:space="preserve">Quelle: </w:t>
      </w:r>
      <w:r>
        <w:t>https://mcp.opencaselaw.ch/entscheid/vd_gerichte_PE17.002180</w:t>
      </w:r>
    </w:p>
    <w:p>
      <w:r>
        <w:t>FR: VD_GERICHTE PE17.002180 du 8 mars 2017</w:t>
      </w:r>
    </w:p>
    <w:p>
      <w:r>
        <w:t>IT: VD_GERICHTE PE17.002180 del 8 marzo 2017</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 Lembo/Julen Berthod, in : Kuhn/Jeanneret [éd.], Commentaire romand, Code de procédure pénale suisse, Bâle 2011, n. 4 ad art. 267 CPP ; CREP 13 mars 2015/188 ; CREP 19 février 2015/51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RSV 173.01]) par une partie qui a un intérêt juridiquement protégé à l'annulation ou à la modification de la décision (art. 382 al. 1 CPP) et dans les formes prescrites (art. 385 al. 1 CPP),</w:t>
      </w:r>
    </w:p>
    <w:p>
      <w:r>
        <w:t>- 4 -</w:t>
      </w:r>
    </w:p>
    <w:p>
      <w:r>
        <w:rPr>
          <w:b/>
        </w:rPr>
        <w:t>E. 1.2</w:t>
      </w:r>
    </w:p>
    <w:p>
      <w:r>
        <w:t>En l’espèce, D.________ SA, titulaire des avoirs séquestrés, est directement touchée par l’ordonnance attaquée, ce qui lui confère la qualité de partie à la procédure au sens de l’art. 105 al. 1 let. f CPP. Par ailleurs, sa qualité pour recourir doit également lui être reconnue dans la mesure où elle a un intérêt juridique à l’annulation ou la modification de l’ordonnance entreprise (art. 382 al. 1 CPP ; CREP 22 octobre 2012/624 consid. 2.1). Partant, le recours interjeté par D.________ SA est recevable.</w:t>
      </w:r>
    </w:p>
    <w:p>
      <w:r>
        <w:rPr>
          <w:b/>
        </w:rPr>
        <w:t>E. 2.1</w:t>
      </w:r>
    </w:p>
    <w:p>
      <w:r>
        <w:t>Dans un premier moyen, la recourante fait valoir que l’ordonnance attaquée violerait son droit à la garantie de la propriété et porterait atteinte à sa liberté économique. Le séquestre ne respecterait pas le principe de la proportionnalité et l’empêcherait de s’acquitter de ses factures et des salaires de ses quatre employés. Enfin elle relève qu’une créance compensatrice ne peut pas être prononcée lorsqu’un tiers a acquis les valeurs dans l’ignorance des faits qui l’auraient justifiée, et cela dans la mesure où il a fourni une contre-prestation adéquate ou si la confiscation se révèle d’une rigueur excessive (art. 70 al. 2 CP).</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w:t>
      </w:r>
    </w:p>
    <w:p>
      <w:r>
        <w:t>- 5 - poursuivis ne peuvent pas être atteints par des mesures moins sévères et que la mesure apparaît justifiée au regard de la gravité de l'infraction (cf. art. 197 al. 1 CPP).</w:t>
      </w:r>
    </w:p>
    <w:p>
      <w:r>
        <w:rPr>
          <w:b/>
        </w:rPr>
        <w:t>E. 2.2.2</w:t>
      </w:r>
    </w:p>
    <w:p>
      <w:r>
        <w:t>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w:t>
      </w:r>
    </w:p>
    <w:p>
      <w:r>
        <w:rPr>
          <w:b/>
        </w:rPr>
        <w:t>E. 2.2.3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précité consid. 4.1.2</w:t>
      </w:r>
    </w:p>
    <w:p>
      <w:r>
        <w:t>- 6 - et les références citées; CREP 3 novembre 2016/737). En outre, une créance compensatrice peut également être prononcée lorsque l'avantage illicite résulte d'une contravention ; il peut toutefois dans ce cadre s'imposer de s'écarter du principe des recettes brutes au regard du principe de la proportionnalité et de la nature de l'infraction (ATF 124 I 6 consid. 4b/cc et dd).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w:t>
      </w:r>
    </w:p>
    <w:p>
      <w:r>
        <w:rPr>
          <w:b/>
        </w:rPr>
        <w:t>E. 2.2.4</w:t>
      </w:r>
    </w:p>
    <w:p>
      <w:r>
        <w:t>Par "personne concernée" au sens de l'art. 71 al. 3 CP, on entend non seulement l'auteur, mais aussi, à certaines conditions, un tiers favorisé, d'une manière ou d'une autre, par l'infraction (cf. art. 71 al. 1 CP renvoyant à l'art. 70 al. 2 CP; TF 1B_213/2013 du 27 septembre 2013 consid. 4.1; TF 1B_583/2012 du 31 janvier 2013 consid. 2.1 et les références citées).</w:t>
      </w:r>
    </w:p>
    <w:p>
      <w:r>
        <w:rPr>
          <w:b/>
        </w:rPr>
        <w:t>E. 2.2.5</w:t>
      </w:r>
    </w:p>
    <w:p>
      <w:r>
        <w:t>Enfin, en cas de séquestre,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(CREP 18 octobre 2013/647 consid. 3a). Il faut, en outre, que la mesure n’emporte pas de limitation allant au-delà du but</w:t>
      </w:r>
    </w:p>
    <w:p>
      <w:r>
        <w:t>- 7 -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Basler Kommenta r, Schweizerische Strafprozessordnung, Jugendstrafprozessordnung, 2e éd., Bâle 2014, n. 23 ad art. 263 CPP).</w:t>
      </w:r>
    </w:p>
    <w:p>
      <w:r>
        <w:rPr>
          <w:b/>
        </w:rPr>
        <w:t>E. 2.4.1</w:t>
      </w:r>
    </w:p>
    <w:p>
      <w:r>
        <w:t>En l’espèce, il est incontestable qu’il existe à ce stade des soupçons sérieux que L.________ et A.H.________ se soient à tout le moins rendus coupables de contravention à la Loi fédérale sur la protection de l’environnement. Les éléments dénoncés par le SDT laissent en effet envisager plusieurs manquements à cette loi. Il ressort de la dénonciation du SDT du 11 janvier 2017, que le comblement illicite aurait permis à D.________ SA d’éluder les frais de mise en décharge qu’elle aurait dû assumer si elle avait respecté la législation sur le traitement des déchets. Ce comportement lui aurait ainsi permis de profiter d’un avantage illicite de 594'000 francs. Dès lors que la recourante semble avoir été favorisée par l’infraction et que la somme litigieuse n’est plus disponible, il se justifie de confisquer ses valeurs patrimoniales en vue de l’exécution d’une éventuelle créance compensatrice (cf. art. 71 CP). Contrairement à ce que soutient la recourante, l’art. 70 al. 2 CP ne trouve pas application dans le cas d’espèce dans la mesure où cette dernière, administrée par L.________, n’aurait en aucune façon pu se prévaloir de l’ignorance des faits qui auraient justifié une confiscation de l’avantage illicite et qu’elle n’a au surplus pas fourni une contre-prestation adéquate. 2.5.2 S’agissant du respect du principe de la proportionnalité, il convient de constater qu’il a été rendu vraisemblable que D.________ SA aurait bénéficié d’un montant total d’au moins 594'000 francs. De ce fait, on peine à suivre l’argument de la recourante selon lequel un séquestre</w:t>
      </w:r>
    </w:p>
    <w:p>
      <w:r>
        <w:t>- 8 - portant sur son compte courant affichant un solde de 120'000 fr. pourrait mettre en péril son existence. Si cette dernière s’était effectivement acquittée des taxes en question, sa situation financière aurait été largement plus critique, voire obérée. Partant, il y a lieu de retenir que le principe de la proportionnalité et les droits fondamentaux de la recourante apparaissent pleinement respectés.</w:t>
      </w:r>
    </w:p>
    <w:p>
      <w:r>
        <w:rPr>
          <w:b/>
        </w:rPr>
        <w:t>E. 3.1</w:t>
      </w:r>
    </w:p>
    <w:p>
      <w:r>
        <w:t>Dans un dernier moyen, D.________ SA conteste le calcul de la créance compensatrice proposé par le SDT dans sa dénonciation du 11 janvier 2017. Elle soutient qu'eu égard aux tarifs pratiqués par les décharges de [...] et de [...], il faudrait tenir compte de tarifs non pas de Fr. 15.- / tonne, mais plutôt de Fr. 9.60 / tonne, étant précisé qu'il serait déjà arrivé à L.________ de se voir accorder un tarif de Fr. 12.00 / m3 (soit Fr. 8.- / tonne) pour l'évacuation de telles terres. Elle invoque encore que D.________ SA réaliserait régulièrement des travaux de terrassement autour de villas où il s'agit de trouver de la terre pour remblayer les trous creusés, de sorte qu'elle aurait également pu utiliser la terre litigieuse pour ce genre de travaux, ce qui lui aurait permis d'échapper à toute taxe de mise en décharge. Elle soutient ainsi que le montant de la créance compensatrice justifiant le séquestre de son compte aurait été calculé de manière arbitraire et ne tiendrait pas compte de la situation concrète des prévenus. Enfin, elle fait valoir que la solidarité est exclue en matière de créance compensatrice et qu’elle ne saurait être visée par un séquestre portant sur la totalité de celle-ci, puis que la procédure paraît être instruite à l’encontre des deux co-prévenus.</w:t>
      </w:r>
    </w:p>
    <w:p>
      <w:r>
        <w:rPr>
          <w:b/>
        </w:rPr>
        <w:t>E. 3.2</w:t>
      </w:r>
    </w:p>
    <w:p>
      <w:r>
        <w:t>Là encore, il n’y a pas lieu de suivre l’argument de la recourante. Même s’il l’on retenait des taxes de mises en décharge inférieures de moitié à la somme de 594'000 fr. calculée par le SDT, le montant dû serait encore largement supérieur au montant de 120'000 fr. concrètement séquestré en l’espèce. Par ailleurs, on ne saurait retenir que la recourante aurait pu échapper à toute taxe de mise en décharge en</w:t>
      </w:r>
    </w:p>
    <w:p>
      <w:r>
        <w:t>- 9 - utilisant la terre litigieuse pour remblayer les trous creusés lors de terrassements autour de villas, puisqu'il résulte des factures produites qu'elle a à de nombreuses reprises dû évacuer de la terre en décharge, ce qu'elle n'aurait assurément pas fait si elle avait eu l'occasion de s'en débarrasser gratuitement en toute légalité. Enfin, on rappellera que le Procureur a prononcé le séquestre du compte de la recourante, en raison du fait qu’elle paraît avoir bénéficié en totalité de l’avantage illicite généré par les infractions reprochées aux prévenus et non sur la base d’une quelconque solidarité entre les parties.</w:t>
      </w:r>
    </w:p>
    <w:p>
      <w:r>
        <w:rPr>
          <w:b/>
        </w:rPr>
        <w:t>E. 4</w:t>
      </w:r>
    </w:p>
    <w:p>
      <w:r>
        <w:t>Il résulte de ce qui précède que le recours doit être rejeté et l'ordonnance du 16 février 2017 confirmée. Les frais de la procédure de recours, constitués en l'espèce du seul émolument d'arrêt, par 990 fr. (art. 422 al. 1 CPP et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16 février 2017 est confirmée. III. Les frais d'arrêt, par 990 fr. (neuf cent nonante francs), sont mis à la charge de la recourante. IV. L’arrêt est exécutoire. Le président : La greffière :</w:t>
      </w:r>
    </w:p>
    <w:p>
      <w:r>
        <w:t>- 10 - Du Le présent arrêt, dont la rédaction a été approuvée à huis clos, est notifié, par l'envoi d'une copie complète, à : - Me Antonella Cereghetti, avocate (pour D.________ SA),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