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PE17.002174 vom 4. Dezember 2019</w:t>
      </w:r>
    </w:p>
    <w:p>
      <w:r>
        <w:t>VD Tribunal cantonal, 2019-12-04, FR</w:t>
      </w:r>
    </w:p>
    <w:p>
      <w:r>
        <w:rPr>
          <w:b/>
        </w:rPr>
        <w:t xml:space="preserve">Quelle: </w:t>
      </w:r>
      <w:r>
        <w:t>https://mcp.opencaselaw.ch/entscheid/vd_gerichte_PE17.002174</w:t>
      </w:r>
    </w:p>
    <w:p>
      <w:r>
        <w:t>FR: VD_GERICHTE PE17.002174 du 4 décembre 2019</w:t>
      </w:r>
    </w:p>
    <w:p>
      <w:r>
        <w:t>IT: VD_GERICHTE PE17.002174 del 4 dicembre 2019</w:t>
      </w:r>
    </w:p>
    <w:p>
      <w:pPr>
        <w:pStyle w:val="Heading2"/>
      </w:pPr>
      <w:r>
        <w:t>Erwägungen</w:t>
      </w:r>
    </w:p>
    <w:p>
      <w:r>
        <w:rPr>
          <w:b/>
        </w:rPr>
        <w:t>E. 3</w:t>
      </w:r>
    </w:p>
    <w:p>
      <w:r>
        <w:t>décembre 2015 consid. 4.1.3).</w:t>
      </w:r>
    </w:p>
    <w:p>
      <w:r>
        <w:t>- 41 - 8.2 En l’espèce, les expertes n’ont pas retenu l’existence d’un trouble mental. Elles ont estimé que la crainte que l’expertisé ne commette des infractions comme le viol ou des actes pouvant mettre en danger la vie d’autrui était en lien avec ses caractéristiques de personnalité. Elles ont en outre retenu un risque élevé de récidive pour la violence envers le partenaire intime ainsi qu’envers quiconque entraverait sa relation sentimentale, le risque de commettre de nouveaux actes de violence générale étant néanmoins considéré comme faible. Elles ont néanmoins estimé qu’un traitement psychothérapeutique serait susceptible de diminuer le risque de récidive pour autant que l’expertisé y adhère. Tel n’est cependant pas le cas en l’état. Cela étant, les premiers juges ont tout de même ordonné un traitement ambulatoire, car ils espèrent que Q.________ pourra saisir, à temps, et malgré ses traits de personnalité narcissiques, la nécessité de s’y soumettre (jgt, p. 61). Il est vrai que le portrait qui se dessine du prévenu au fil de ses auditions, des expertises psychiatriques et des éléments exposés dans le rapport de police (P. 57) est extrêmement inquiétant. Les problèmes sentimentaux du prévenu débordent du strict cadre de ses relations conjugales car il a aussi eu des comportements menaçants vis-à-vis de tiers ressentis comme des obstacles, comme par exemple la fille de son ex-compagne. Le prévenu n’en fait qu’à sa tête, fuyant le pays si la justice tente de le rattraper, changeant régulièrement d’avocat lorsque celui-ci refuse de se plier à ses exigences, désobéissant au personnel pénitentiaire (P. 100 ; P. 103 ; P. 222) ou tentant de prendre le contrôle de la relation avec les experts psychiatres. De plus, le prévenu a déjà fait de la détention préventive et ne se remet pas en question. Cependant, on relève que le passé délictueux du prévenu, qui a déjà soixante ans, n’avait jamais – en particulier dans le cadre de ses précédentes relations – atteint un degré de gravité tel que celui jugé aujourd’hui. En outre, s’il a déjà subi une précédente période de détention préventive, celle-ci n’était pas très longue et n’a selon toute vraisemblance pas permis à l’intéressé de pouvoir de se questionner de manière sérieuse sur sa personnalité et sur la portée de ses agissements.</w:t>
      </w:r>
    </w:p>
    <w:p>
      <w:r>
        <w:t>- 42 - On ne saurait ainsi considérer, à ce stade, que l’exécution d’une peine privative de liberté importante telle qu’ordonnée dans le cadre du présent jugement n’aura pas d’effet dissuasif sur l’intéressé. On peut espérer qu’à l’issue de l’exécution de sa peine, le prévenu aura pu se remettre suffisamment en question pour ne pas réitérer le même genre d’actes que ceux commis dans le cadre de la présente cause. De plus, Q.________ aura plus de 65 ans à la fin de cette peine et aura également subi les 20 mois de privation de liberté infligés en 2016. Durant toute cette durée, il suivra bon gré mal gré un traitement ambulatoire, dont il n’est en l’état pas exclu qu’il puisse finalement être investi par l’intéressé. Ainsi, en vertu du principe de la proportionnalité, dans la mesure où un internement doit généralement être admis que dans des cas extrêmes pour les délinquants ne souffrant d’aucun trouble mental et dès lors qu’on ne peut exclure que tant l’exécution de la peine que le traitement ambulatoire puissent avoir un effet bénéfique sur l’intéressé, il y a lieu de renoncer à prononcer un internement à l’endroit de Q.________. 9. La détention subie depuis le jugement de première instance doit être déduite. Par ailleurs, le maintien du prévenu en exécution anticipée de peine doit être ordonné en raison du risque de fuite. 10. Le prévenu, au bénéfice de sa version des faits, demande que la réparation morale allouée à G.________ soit réduite à 5'000 francs. 10.1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w:t>
      </w:r>
    </w:p>
    <w:p>
      <w:r>
        <w:t>- 43 -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 ATF 129 IV 22 consid. 7.2). Les victimes de viol reçoivent des montants de l’ordre de 15'000 fr. (par ex. CAPE 19 novembre 2018/433). 10.2 La plaignante G.________ a été victime de lésions corporelles simples, menaces, contrainte, séquestration et enlèvement et viol. Le prévenu lui a fait vivre un véritable enfer. Il l’a notamment atteinte dans son intégrité physique et sexuelle, et l’a harcelée au moyen de messages terrifiants. La prénommée a dû être prise en charge par des thérapeutes après les faits des 2 et 3 février 2017, sur une base régulière, et était encore suivie le 3 octobre 2019. Elle a été confrontée à une situation traumatique et une détresse intense, un sentiment de frayeur en ayant découlé. Elle a développé des mécanismes de défense de type flash-back, sursauts et hypervigilance. En outre, elle a été longuement en incapacité de travail suite aux faits de février 2017. Elle paraît enfin encore très affectée aujourd’hui. En raison des éléments précités, le montant de 15'000 fr. allouée par le tribunal à G.________ pour son tort moral n’a rien d’excessif et doit être confirmé. 11. En conclusion, les appels de Q.________ et du Ministère public doivent être rejetés et le jugement attaqué intégralement confirmé. Selon la liste d’opérations produite par Me Jean Lob, dont il y a lieu de réduire 4 heures en raison de la durée surestimée de l’audience et d’opérations antérieures à la procédure d’appel, une indemnité pour la procédure d’appel d’un montant de 5'072 fr. 70, débours, vacations et TVA compris, sera allouée à celui-ci pour son mandat de défenseur d’office de Q.________.</w:t>
      </w:r>
    </w:p>
    <w:p>
      <w:r>
        <w:t>- 44 - Selon la liste d’opérations produite par Me Coralie Devaud, dont il n’y a pas lieu de s’écarter, une indemnité pour la procédure d’appel d’un montant de 2'947 fr., débours, vacations et TVA compris, sera allouée à celle-ci pour son mandat de conseil juridique gratuit de G.________. Vu l’issue de la cause, les frais de la procédure d’appel, par 12’127 fr. 70, constitués de l’émolument de jugement, par 4’110 fr. (art. 21 al. 1 et 2 TFIP [Tarif des frais de procédure et indemnités en matière pénale du 28 septembre 2010 ; BLV 312.03.1]), de l’indemnité allouée au défenseur d’office, par 5'072 fr. 70, et de l’indemnité allouée au conseil juridique gratuit, par 2'947 fr. seront mis pour moitié, soit par 6'063 fr. 85, à la charge du prévenu, qui succombe, le solde étant laissé à la charge de l’Etat (art. 428 al. 1CPP). La moitié des indemnités d’office allouées à Mes Jean Lob et Coralie Devaud sera remboursable à l’Etat de Vaud par Q.________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