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PE17.001699 vom 24. Oktober 2017</w:t>
      </w:r>
    </w:p>
    <w:p>
      <w:r>
        <w:t>VD Tribunal cantonal, 2017-10-24, FR</w:t>
      </w:r>
    </w:p>
    <w:p>
      <w:r>
        <w:rPr>
          <w:b/>
        </w:rPr>
        <w:t xml:space="preserve">Quelle: </w:t>
      </w:r>
      <w:r>
        <w:t>https://mcp.opencaselaw.ch/entscheid/vd_gerichte_PE17.001699</w:t>
      </w:r>
    </w:p>
    <w:p>
      <w:r>
        <w:t>FR: VD_GERICHTE PE17.001699 du 24 octobre 2017</w:t>
      </w:r>
    </w:p>
    <w:p>
      <w:r>
        <w:t>IT: VD_GERICHTE PE17.001699 del 24 ottobre 2017</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art. 80 LOJV [loi d’organisation judiciaire ; RSV 173.01]). Il est admis en doctrine que la communication d’un prononcé rectificatif fait, en principe, partir un nouveau délai de recours (Macaluso, in : Kuhn/Jeanneret [éd.], Commentaire romand, Code de procédure pénale suisse, Bâle 2011, n. 13 ad art. 83 CPP ; Moreillon/Parein- Reymond, Petit commentaire, Code de procédure pénale, 2e ed., Bâle 2016, n. 11 ad art. 83 CPP ; Schmid, Schweizerische Strafprozessordnung, Praxiskommentar, 2e éd. 2013, n. 5 ad art. 83 CPP ; Stohner, in : Niggli/Heer/Wiprächtiger [éd.], Basler Kommentar, Schweizerische Strafprozessordnung, Jugendstrafprozessordnung, 2e éd., Bâle 2014, n. 8</w:t>
      </w:r>
    </w:p>
    <w:p>
      <w:r>
        <w:t>- 4 - ad art. 83 CPP ; Brüschweiler, in : Donatsch/Hansjakob/Lieber [éd.], 2e éd., 2014, n. 8 ad art. 83 CPP ; ATF 117 II 508 consid. 1a). En l'espèce, interjeté en temps utile et dans les formes prescrites (art. 385 al. 1 CPP) auprès de l’autorité compétente, par la prévenue qui a qualité pour recourir dans la mesure où elle a un intérêt juridiquement protégé à l’annulation ou à la modification de l’ordonnance attaquée (art. 382 al. 1 CPP), le recours est recevable.</w:t>
      </w:r>
    </w:p>
    <w:p>
      <w:r>
        <w:rPr>
          <w:b/>
        </w:rPr>
        <w:t>E. 2</w:t>
      </w:r>
    </w:p>
    <w:p>
      <w:r>
        <w:t>La recourante conteste le chiffre I de l’ordonnance rectificative qui prévoit l’adjonction du chiffre Ibis au dispositif de l’ordonnance de non- entrée en matière rendu le 30 juin 2017 et qui a la teneur suivante : « I bis. Le matériel de culture saisi, soit une tente de culture, deux lampes à sodium, un filtre à charbon actif, deux bouteilles d’engrais et une boîte d’engrais, doit être séquestré, confisqué et détruit. Au surplus, l’ordonnance de non-entrée en matière doit être confirmée ».</w:t>
      </w:r>
    </w:p>
    <w:p>
      <w:r>
        <w:rPr>
          <w:b/>
        </w:rPr>
        <w:t>E. 2.1</w:t>
      </w:r>
    </w:p>
    <w:p>
      <w:r>
        <w:t>Selon l'art. 83 al. 1 CPP, l'autorité pénale qui a rendu un prononcé dont le dispositif est peu clair, contradictoire ou incomplet ou qui est en contradiction avec l'exposé des motifs l'explique ou le rectifie à la demande d'une partie ou d'office.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JdT 2017 IV 116 consid. 1.3 et les références).</w:t>
      </w:r>
    </w:p>
    <w:p>
      <w:r>
        <w:t>- 5 -</w:t>
      </w:r>
    </w:p>
    <w:p>
      <w:r>
        <w:rPr>
          <w:b/>
        </w:rPr>
        <w:t>E. 2.2</w:t>
      </w:r>
    </w:p>
    <w:p>
      <w:r>
        <w:t>supra). S’il entendait confisquer certains biens appartenant à la recourante, il devait ouvrir une procédure séparée en confiscation et non utiliser la voie de la rectification d’une ordonnance de non-entrée en matière (cf. consid. 2.1 in fine supra).</w:t>
      </w:r>
    </w:p>
    <w:p>
      <w:r>
        <w:t>- 6 - On rappellera au demeurant que la procédure de confiscation des art. 376 ss CPP prévoit que, pour sauvegarder ses droits, la partie doit pouvoir soumettre la décision du procureur à un tribunal par la voie de l’opposition. Ce n’est qu’ensuite que, le cas échéant, la question pourra être soumise à la Chambre des recours pénale du Tribunal cantonal dans le cadre d’un recours. Au vu de l’ensemble des considérations qui précèdent, et sans entrer en matière sur le fond, force est de constater que la procédure est viciée. Partant, l’ordonnance de rectification du 7 août 2017 doit être annulée. Il appartiendra au Ministère public d’ouvrir une procédure de confiscation indépendante et de rendre une décision conforme et indiquant les voies de droit adéquates.</w:t>
      </w:r>
    </w:p>
    <w:p>
      <w:r>
        <w:rPr>
          <w:b/>
        </w:rPr>
        <w:t>E. 2.3</w:t>
      </w:r>
    </w:p>
    <w:p>
      <w:r>
        <w:t>En l’occurrence, le procureur, considérant qu’il avait, par inadvertance manifeste, omis de statuer sur le sort du matériel de culture saisi en mains de A.Z.________, a rectifié l’ordonnance de non-entrée en matière rendue en faveur de la prénommée le 30 juin 2017 en ordonnant le séquestre, la confiscation et la destruction dudit matériel. Toutefois, dans la mesure où aucune instruction pénale n’a été ouverte contre A.Z.________, le procureur ne pouvait procéder de cette manière (cf consid.</w:t>
      </w:r>
    </w:p>
    <w:p>
      <w:r>
        <w:rPr>
          <w:b/>
        </w:rPr>
        <w:t>E. 3</w:t>
      </w:r>
    </w:p>
    <w:p>
      <w:r>
        <w:t>Il résulte de ce qui précède que le recours doit être admis, l’ordonnance attaquée annulée et le dossier renvoyé au Ministère public de l’arrondissement du Nord vaudois pour qu’il procède dans le sens des considérants. Les frais de la procédure de recours, constitués en l'espèce du seul émolument d'arrêt, par 660 fr. (art. 422 al. 1 CPP et 20 al. 1 TFIP [Tarif des frais de procédure et indemnités en matière pénale du 28 septembre 2010 ; RSV 312.03.1]), seront laissés à la charge de l’Etat (art. 428 al. 1 CPP). La recourante, qui a procédé avec l’assistance d’un avocat de choix et qui a obtenu gain de cause, a droit à une indemnité pour les dépenses occasionnées par la procédure de recours (art. 436 al. 2 CPP). Au vu du mémoire produit, cette indemnité sera fixée à 900 fr., soit 3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w:t>
      </w:r>
    </w:p>
    <w:p>
      <w:r>
        <w:t>- 7 - TVA (CREP 1er mars 2017/904) –, par 72 fr., soit à 972 fr. au total. Elle sera mise à la charge de l’Etat. Par ces motifs, la Chambre des recours pénale prononce : I. Le recours est admis. II. L’ordonnance du 7 août 2017 est annulée. III. Le dossier de la cause est renvoyé au Ministère public de l’arrondissement du Nord vaudois pour qu’il procède dans le sens des considérants. IV. Les frais d’arrêt, par 660 fr. (six cent soixante francs), sont laissés à la charge de l’Etat. V. Une indemnité de 972 fr. (neuf cent septante-deux francs) est allouée à A.Z.________ pour les dépenses occasionnées par la procédure de recours, à la charge de l’Etat. VI. L’arrêt est exécutoire. Le président : La greffière : Du Le présent arrêt, dont la rédaction a été approuvée à huis clos, est notifié, par l'envoi d'une copie complète, à : - Me Romain Deillon, avocat (pour A.Z.________ et B.Z.________), - Ministère public central, et communiqué à : - M. le Procureur de l’arrondissement de la Broye et du Nord vaudois, - Police cantonale, bureau des séquestres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