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PE17.000973 vom 12. Dezember 2018</w:t>
      </w:r>
    </w:p>
    <w:p>
      <w:r>
        <w:t>VD Tribunal cantonal, 2018-12-12, FR</w:t>
      </w:r>
    </w:p>
    <w:p>
      <w:r>
        <w:rPr>
          <w:b/>
        </w:rPr>
        <w:t xml:space="preserve">Quelle: </w:t>
      </w:r>
      <w:r>
        <w:t>https://mcp.opencaselaw.ch/entscheid/vd_gerichte_PE17.000973</w:t>
      </w:r>
    </w:p>
    <w:p>
      <w:r>
        <w:t>FR: VD_GERICHTE PE17.000973 du 12 décembre 2018</w:t>
      </w:r>
    </w:p>
    <w:p>
      <w:r>
        <w:t>IT: VD_GERICHTE PE17.000973 del 12 dicembre 2018</w:t>
      </w:r>
    </w:p>
    <w:p>
      <w:pPr>
        <w:pStyle w:val="Heading2"/>
      </w:pPr>
      <w:r>
        <w:t>Erwägungen</w:t>
      </w:r>
    </w:p>
    <w:p>
      <w:r>
        <w:rPr>
          <w:b/>
        </w:rPr>
        <w:t>E. 47</w:t>
      </w:r>
    </w:p>
    <w:p>
      <w:r>
        <w:t>consid. 2a; ATF 117 IV 27 consid. 2c; ATF 116 IV 205 consid. 2, JdT 1992 IV 107). Si l'allégation litigieuse ne porte atteinte qu'à la considération dont jouit le lésé dans sa profession ou ses affaires, il n'est pas visé par les art. 173 ss CP (ATF 115 IV 44 consid. 1, JdT 1990 IV 107).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(TF 6B_143/2011 du 16 septembre 2011 consid. 2.1.3; ATF 133 IV 308 consid. 8.5.1 précité ; CREP 26 mai 2015/361 consid. 2.2). La protection de l’honneur en matière d’allégations d’adultère fait l’objet d’une jurisprudence spécifique, s’agissant en particulier de savoir si l’on peut, depuis l'abrogation de l'art. 214 CP qui réprimait l'adultère (loi fédérale du 23 juin 1989, entrée en vigueur le 1er janvier 1990), considérer qu'une personne apparaît méprisable du seul fait qu'elle entretient une relation hors mariage. Dans un arrêt du 14 mars 2007, le Tribunal fédéral a considéré que, si l'adultère a cessé d'être punissable, cela ne signifie pas pour autant qu'il ne soit pas moralement réprouvé. La liberté sexuelle est certes entrée dans les mœurs. Il est vrai que la personne qui commet un adultère n'est aujourd'hui plus couverte d'opprobre. Le code civil exige cependant toujours, à l'art. 159 al. 3 CC (Code civil; RS 210), la fidélité des époux et conçoit ainsi la relation conjugale comme exclusive, pour chaque époux, de rapports semblables ou analogues avec un autre partenaire. L'adultère – s'il n'est plus une cause de divorce –, reste ainsi un acte illicite. Le conjoint qui entretient des relations intimes avec un tiers</w:t>
      </w:r>
    </w:p>
    <w:p>
      <w:r>
        <w:t>- 10 - manque à ses engagements et trahit la confiance mise en lui par son partenaire. Il est bien souvent considéré encore aujourd'hui, dans la société, comme une personne déloyale, qui a manqué à sa parole, et sa réputation, sans être ruinée, sera néanmoins fortement compromise (TF 6S.5/2007 du 14 mars 2007). 2.3 En l’occurrence, force est de constater qu’aucun des témoignages recueillis ne révèle clairement que J.________ avait connaissance de l’identité des membres du groupe WhatsApp en juin 2016. Les déclarations des différentes personnes entendues ne révèlent pas de date précise. On relèvera ainsi que [...] a simplement déclaré qu’il avait parlé des rumeurs au recourant en précisant que celles-ci provenaient de [...] et X.________. De plus, [...] n’a pas précisément indiqué quand le recourant avait donné le nom des personnes impliquées. A cela s’ajoute qu’il est loin d’être certain que X.________ soit la seule personne à avoir diffusé l’information incriminée. Dans ce contexte, il paraît difficile d’admettre que la plainte a été déposée tardivement, de simples soupçons ne suffisant pas. Bien plutôt, il conviendrait d’interpeller les différentes personnes présentes lors de la séance extraordinaire du 15 juin 2016 afin de savoir précisément quand le recourant a pu avoir connaissance de l’identité des personnes propageant la rumeur. Il conviendrait également de réentendre les différentes personnes déjà entendues avant de se prononcer sur cet aspect temporel et, le cas échéant, sur le fond. 3. En définitive, le recours doit être admis et l’ordonnance de classement annulée. Le dossier de la cause sera renvoyé au Ministère public de l’arrondissement de Lausanne pour qu’il procède dans le sens des considérants. Les frais d’arrêt, par 1’100 fr. (art. 20 al. 1 TFIP [Tarif des frais de procédure et indemnités en matière pénale du 28 septembre 2010 ; RSV 312.03.1]) seront laissés à la charge de l’Etat (art. 428 al. 4 CPP). Le recourant, qui obtient gain de cause et qui a procédé avec l’assistance d’un avocat de choix, a droit à une juste indemnité pour les</w:t>
      </w:r>
    </w:p>
    <w:p>
      <w:r>
        <w:t>- 11 - dépenses occasionnées par la procédure de recours. L’indemnité sera fixée à 900 fr. (3 heures à 300 fr. ; art. 26a al. 3 TFIP), plus un montant correspondant à la TVA de 7,7%, par 69 fr. 30, soit à 969 fr. 30 au total. Il est précisé que si les indemnités au sens des art. 429 ss CPP ne sont pas soumises à la TVA (art. 18 al. 2 let. i LTVA [Loi fédérale régissant la taxe sur la valeur ajoutée du 12 juin 2009 ; RS 641.20]), il convient de tenir compte du fait que les honoraires payés par la partie à son avocat sont quant à eux soumis à la TVA (CREP 19 mars 2015/91 consid. 3.1.2). Cette indemnité sera laissée à la charge de l’Etat (art. 428 al. 4 CPP). Par ces motifs, la Chambre des recours pénale prononce : I. Le recours est admis. II. L’ordonnance du 3 septembre 2018 est annulée. III. Le dossier de la cause est renvoyé au Ministère public de l’arrondissement de Lausanne pour qu’il procède dans le sens des considérants. IV. Les frais d’arrêt, par 1’100 fr. (mille cent francs), sont laissés à la charge de l’Etat. V. Une indemnité de 969 fr. 30 (neuf cent soixante-neuf francs et trente centimes) est allouée à J.________ pour la procédure de recours, à la charge de l’Etat. VI. L’arrêt est exécutoire. Le président : La greffière : Du Le présent arrêt, dont la rédaction a été approuvée à huis clos, est notifié, par l'envoi d'une copie complète, à : - Me Robert Fox, avocat (pour J.________), - Me Rachid Hussein, avocat (pour X.________), - Ministère public central,</w:t>
      </w:r>
    </w:p>
    <w:p>
      <w:r>
        <w:t>- 12 - et communiqué à : - M. le Procureur de l’arrondissement de Lausanne, - Service pénitentiaire,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