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PE17.000710 vom 28. August 2018</w:t>
      </w:r>
    </w:p>
    <w:p>
      <w:r>
        <w:t>VD Tribunal cantonal, 2018-08-28, FR</w:t>
      </w:r>
    </w:p>
    <w:p>
      <w:r>
        <w:rPr>
          <w:b/>
        </w:rPr>
        <w:t xml:space="preserve">Quelle: </w:t>
      </w:r>
      <w:r>
        <w:t>https://mcp.opencaselaw.ch/entscheid/vd_gerichte_PE17.000710</w:t>
      </w:r>
    </w:p>
    <w:p>
      <w:r>
        <w:t>FR: VD_GERICHTE PE17.000710 du 28 août 2018</w:t>
      </w:r>
    </w:p>
    <w:p>
      <w:r>
        <w:t>IT: VD_GERICHTE PE17.000710 del 28 agosto 2018</w:t>
      </w:r>
    </w:p>
    <w:p>
      <w:pPr>
        <w:pStyle w:val="Heading2"/>
      </w:pPr>
      <w:r>
        <w:t>Erwägungen</w:t>
      </w:r>
    </w:p>
    <w:p>
      <w:r>
        <w:rPr>
          <w:b/>
        </w:rPr>
        <w:t>E. 2</w:t>
      </w:r>
    </w:p>
    <w:p>
      <w:r>
        <w:t>août 2018 par le Ministère public de l'arrondissement de La Côte dans la cause n° PE17.000710-MMR, la Chambre des recours pénale considère : En fait : A. Le 15 février 2017, le Ministère public de l'arrondissement de La Côte a ouvert une instruction pénale contre B.C.________, ensuite d'une plainte déposée le 10 janvier précédent par son ex-époux A.C.________, pour violation d'une obligation d'entretien (art. 217 CP). Celui-ci lui reprochait en substance de ne pas s'être acquittée complètement de la pension mensuelle de 1'700 fr. due en faveur de leur fille [...] selon 351</w:t>
      </w:r>
    </w:p>
    <w:p>
      <w:r>
        <w:t>- 2 - jugement du Tribunal civil de l'arrondissement de Nyon (sic) du 9 mai 2016, entre les mois de mai 2014 et de décembre 2016. B. Le 23 mai 2018, le Ministère public a adressé aux parties un avis de prochaine clôture faisant état de son intention de rendre une ordonnance de classement. Par ordonnance du 2 août 2018, le Ministère public de l'arrondissement de La Côte a ordonné le classement de la procédure pénale dirigée contre B.C.________ pour violation d'une obligation d'entretien (I), a alloué une indemnité de 5'878 fr. 30 à B.C.________ en vertu de l'art. 429 al. 1 let. a CPP (II) et a laissé les frais de procédure à la charge de l'Etat (III). Cette ordonnance a été envoyée à A.C.________ par pli simple. Celui-ci l'a reçue le 10 août 2018 et a apposé sur l'enveloppe un tampon "Reçu 10 août 2018". C. Par acte déposé au greffe du Tribunal cantonal le 22 août 2018, A.C.________ a demandé la restitution du délai de recours et a fait valoir des arguments de fond, en concluant implicitement à l'annulation de l'ordonnance de classement. Il n'a pas été ordonné d'échange d'écritures. En d roit :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w:t>
      </w:r>
    </w:p>
    <w:p>
      <w:r>
        <w:t>- 3 - du Tribunal cantonal (art. 13 LVCPP [loi vaudoise d’introduction du Code de procédure pénale suisse; RSV 312.01]; art. 80 LOJV [loi vaudoise d’organisation judiciaire; RSV 173.01]).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 1.2 Si une partie a été empêchée d'observer le délai, elle peut en demander la restitution aux conditions de l’art. 94 CPP. L’alinéa 2 de cette disposition prescrit que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 S’il s’agit d’un délai de recours, la compétence revient à l’autorité de recours (Stoll, in : Kuhn/Jeanneret [éd.], Commentaire romand, Code de procédure pénale suisse, Bâle 2011, n. 14 ad art. 94 CPP; Moreillon/Parein-Reymond, Petit commentaire du Code de procédure pénale, Bâle 2016, n. 17 ad art. 94 CPP), soit en l’occurrence à la Cour de céans (CREP 11 septembre 2014/668 consid. 2; CREP 6 juin 2014/394 consid. 1a; CREP 21 janvier 2014/53 consid. 1; CREP 20 janvier 2014/37 consid. 1b). 1.3 En l’espèce, l’ordonnance de classement du 2 août 2018 a été envoyée à A.C.________ par pli simple du 2 août 2018 et ce dernier l'a reçue le 10 août suivant, comme il l'allègue dans son acte du 22 août 2018 et comme l'atteste le tampon qu'il a apposé sur l'enveloppe, faisant mention de cette même date. Il s'ensuit que le délai de recours commençait à courir le 11 août et arrivait à échéance le 20 août 2018. Par conséquent, le</w:t>
      </w:r>
    </w:p>
    <w:p>
      <w:r>
        <w:t>- 4 - recours déposé le 22 août 2018 est manifestement tardif, ce que A.C.________ ne conteste d'ailleurs pas. Il présente cependant et concurremment à son recours une demande de restitution de délai du délai de recours. Il convient dès lors d’examiner si les conditions d’une restitution de délai sont réalisées, la recevabilité du recours contre l’ordonnance de classement étant subordonnée à cette question. A cet égard, la demande de restitution de délai du 22 août 2018 a été présentée en temps utile auprès de l’autorité compétente et elle satisfait aux conditions de forme posées par la loi, de sorte qu’elle est recevable.</w:t>
      </w:r>
    </w:p>
    <w:p>
      <w:r>
        <w:rPr>
          <w:b/>
        </w:rPr>
        <w:t>E. 2.1</w:t>
      </w:r>
    </w:p>
    <w:p>
      <w:r>
        <w:t>Aux termes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Cette disposition suppose en particulier trois conditions, à savoir que la partie qui requiert la restitution ait été empêchée d'observer le délai en question, qu'elle s'expose de ce fait à un préjudice important et irréparable et qu'elle rende vraisemblable que l'empêchement n'est pas imputable à faute (Stoll, op. cit., n. 5 ad art. 94 CPP). Une restitution au sens de l'art. 94 CPP ne peut intervenir qu’en cas d’empêchement non fautif, soit lorsqu'un événement met la partie dans l'impossibilité d'agir par elle-même ou de charger une tierce personne d'agir en son nom dans le délai. Il s’agit non seulement de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op. cit., n. 6 ad art. 94 CPP; Moreillon/Parein-Reymond, op. cit., n. 7 ad art. 94 CPP;</w:t>
      </w:r>
    </w:p>
    <w:p>
      <w:r>
        <w:t>- 5 - TF 6B_538/2014 du 8 janvier 2015 consid. 2.2; TF 6B_158/2012 du 27 juillet 2012 consid. 3.2 et les références citées; Juge unique CREP 16 septembre 2013/641 consid. 2c). En cas d’absence ou d’incapacité de longue durée, la personne concernée doit prendre les mesures nécessaires en désignant le cas échéant un mandataire (Moreillon/Parein-Reymond, op. cit., n. 8 ad art. 94 CPP et les références citées).</w:t>
      </w:r>
    </w:p>
    <w:p>
      <w:r>
        <w:rPr>
          <w:b/>
        </w:rPr>
        <w:t>E. 2.2</w:t>
      </w:r>
    </w:p>
    <w:p>
      <w:r>
        <w:t>En l’espèce, A.C.________ affirme qu’il a reçu l'ordonnance de classement litigieuse en période estivale et qu'il n'a pas pu joindre son nouveau conseil afin de faire valoir ses droits pour un recours dans le délai imparti. Cela étant, le requérant ne rend pas vraisemblable qu’il aurait été subjectivement ou objectivement dans l’impossibilité de procéder personnellement en temps utile, ou à tout le moins de procéder aux démarches nécessaires pour faire connaître sa volonté de recourir. En particulier, il n'expose pas en quoi le fait de ne pas avoir pu joindre son nouveau conseil l'aurait empêché de recourir lui-même en temps utile, comme il l'a d'ailleurs fait tardivement, ni encore moins en quoi l'empêchement dont il se prévaut ne serait pas imputable à faute. Le motif invoqué, qui n'est du reste pas étayé, n'est ainsi pas suffisant. De surcroît, le 23 mai 2018, le Ministère public avait adressé aux parties un avis de prochaine clôture faisant état de son intention de rendre une ordonnance de classement, de sorte que l'intéressé devait s'attendre à recevoir une telle décision. Il disposait dès lors largement du temps nécessaire afin de mandater un nouveau conseil s'il l'estimait nécessaire. Dans ces conditions, A.C.________ ne peut se prévaloir d'aucun empêchement non fautif au sens de l’art. 94 al. 1 CPP. Le délai pour contester l’ordonnance de classement en matière du 2 août 2018 par voie de recours ne saurait dès lors être restitué.</w:t>
      </w:r>
    </w:p>
    <w:p>
      <w:r>
        <w:rPr>
          <w:b/>
        </w:rPr>
        <w:t>E. 3</w:t>
      </w:r>
    </w:p>
    <w:p>
      <w:r>
        <w:t>Il résulte de ce qui précède que la demande de restitution de délai présentée par A.C.________ le 22 août 2018 doit être rejetée.</w:t>
      </w:r>
    </w:p>
    <w:p>
      <w:r>
        <w:t>- 6 - Partant, le recours, tardif, doit être déclaré irrecevable. Les frais de la procédure de recours, constitués en l’espèce de l’émolument d’arrêt, par 550 fr. (art. 20 al. 1 TFIP [tarif des frais de procédure et indemnités en matière pénale du 28 septembre 2010; RSV 312.03.1]), seront mis à la charge du recourant, qui succombe (art. 428 al. 1 CPP). Par ces motifs, la Chambre des recours pénale prononce : I. La demande de restitution de délai est rejetée. II. Le recours est irrecevable. III. Les frais d'arrêt, par 550 fr. (cinq cent cinquante francs), sont mis à la charge de A.C.________. IV. L’arrêt est exécutoire. Le président : Le greffier : Du Le présent arrêt, dont la rédaction a été approuvée à huis clos, est notifié, par l'envoi d'une copie complète, à : - M. A.C.________, - Me Mireille Loroch, avocate (pour B.C.________), - Ministère public central, et communiqué à : - Mme la Procureure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