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PE17.000634 vom 27. Februar 2017</w:t>
      </w:r>
    </w:p>
    <w:p>
      <w:r>
        <w:t>VD Tribunal cantonal, 2017-02-27, FR</w:t>
      </w:r>
    </w:p>
    <w:p>
      <w:r>
        <w:rPr>
          <w:b/>
        </w:rPr>
        <w:t xml:space="preserve">Quelle: </w:t>
      </w:r>
      <w:r>
        <w:t>https://mcp.opencaselaw.ch/entscheid/vd_gerichte_PE17.000634</w:t>
      </w:r>
    </w:p>
    <w:p>
      <w:r>
        <w:t>FR: VD_GERICHTE PE17.000634 du 27 février 2017</w:t>
      </w:r>
    </w:p>
    <w:p>
      <w:r>
        <w:t>IT: VD_GERICHTE PE17.000634 del 27 febbraio 2017</w:t>
      </w:r>
    </w:p>
    <w:p>
      <w:pPr>
        <w:pStyle w:val="Heading2"/>
      </w:pPr>
      <w:r>
        <w:t>Erwägungen</w:t>
      </w:r>
    </w:p>
    <w:p>
      <w:r>
        <w:rPr>
          <w:b/>
        </w:rPr>
        <w:t>E. 1</w:t>
      </w:r>
    </w:p>
    <w:p>
      <w:r>
        <w:t>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w:t>
      </w:r>
    </w:p>
    <w:p>
      <w:r>
        <w:t>- 5 -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3.1</w:t>
      </w:r>
    </w:p>
    <w:p>
      <w:r>
        <w:t>Le recourant reproche au Procureur d’avoir considéré que les propos tenus par T.________, dans son attestation du 16 décembre 2016, ne seraient que le reflet de l’appréciation d’une professionnelle relative à une problématique qui lui a été soumise et soutient que ceux-ci seraient suffisamment caractérisés pour constituer des atteintes à l’honneur. Il fait valoir en substance que les assertions selon lesquelles il serait « jaloux pathologiquement » et aurait fait de son épouse « sa créature » dépasse- raient les limites de l’admissible et seraient objectivement de nature à l’exposer au mépris, que les termes de « menaces, intimidations, harcèlement, violences, méthodes d’isolement et chantage » employés par l’intimée seraient attentatoires à l’honneur, que celle-ci ne se serait pas contentée d’expliquer le suivi médical de sa patiente, mais qu’elle aurait tenu des accusations extrêmement graves à son encontre, que les allégations de l’intimée dépasseraient largement le cadre de l’acte d’accusation du 30 octobre 2015, que le fait que les tiers destinataires du rapport du 16 décembre 2016 soient membres d’une autorité judiciaire ne permettrait pas d’en relativiser la portée et que, en tenant pour acquises les déclarations de X.________, l’intimée aurait délibérément agi dans le but de nuire au recourant.</w:t>
      </w:r>
    </w:p>
    <w:p>
      <w:r>
        <w:rPr>
          <w:b/>
        </w:rPr>
        <w:t>E. 3.2</w:t>
      </w:r>
    </w:p>
    <w:p>
      <w:r>
        <w:t>Selon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le ch. 2 de cette disposition, l’inculpé n’encourra aucune peine s’il prouve que les allégations qu’il a</w:t>
      </w:r>
    </w:p>
    <w:p>
      <w:r>
        <w:t>- 6 - articulées ou propagées sont conformes à la vérité ou qu’il avait des raisons sérieuses de les tenir de bonne foi pour vraies. Lorsque l’accusé apporte la preuve de la vérité ou la preuve de la bonne foi, il doit être acquitté (ATF 119 IV 44 consid. 3).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w:t>
      </w:r>
    </w:p>
    <w:p>
      <w:r>
        <w:t>- 7 - admise que restrictivement, surtout si les propos litigieux ne s’adressent qu’aux membres d’une autorité judiciaire, qui sont à même de faire la part des choses (CREP 25 février 2016/126 ; Favre/Pellet/Stoudmann, Code pénal annoté, 3e éd., Lausanne 2007, n. 1.14 ad art. 173 CP). Tant la diffamation que la calomnie sont des infractions intentionnelles (Corboz, Les infractions en droit suisse, 3e éd., vol. I, Berne 2010, n. 48 ad art. 173 CP et n. 11 ad art. 174 CP), la seconde se distinguant de la première en ce sens qu'un élément subjectif supplémentaire doit être réalisé, à savoir que l'auteur sait – le dol éventuel n'étant pas suffisant – que le fait qu'il allègue est faux (TF 6S.451/2002 du 10 janvier 2003 consid. 2.2 et les références citées ; Corboz, op. cit., n. 11 ad art. 174 CP ; Favre/Pellet/Stoudmann, Code pénal annoté, op. cit., n. 1.1 ad art. 174 CP).</w:t>
      </w:r>
    </w:p>
    <w:p>
      <w:r>
        <w:rPr>
          <w:b/>
        </w:rPr>
        <w:t>E. 3.3</w:t>
      </w:r>
    </w:p>
    <w:p>
      <w:r>
        <w:t>En l’espèce, T.________, psychothérapeute de l’épouse du recourant, a évoqué, dans son rapport du 16 décembre 2016, l’emprise que le recourant exerçait sur son épouse, les violences psychologiques et sexuelles subies par celle-ci, le fait qu’il lui ait ordonné d’avoir une relation sexuelle avec un tiers et le fait qu’il l’ait violée pendant des mois. Les assertions de T.________ ne sauraient fonder un délit contre l’honneur, l’élément subjectif, indispensable à la commission des infractions de diffa- mation et de calomnie, faisant manifestement défaut. Le travail de l’inti- mée consistait à expliquer l’état psychique de sa patiente et son évolution, tout en faisant part des confidences de celle-ci et de son avis de professionnelle. Dans la mesure où elle n’effectuait pas une thérapie de couple, la version des faits du recourant n’avait pas place dans son rap- port. L’intimée n’a, de toute évidence, eu aucune intention de porter atteinte à l’honneur du recourant ou, plus précisément, de le diffamer ou de le calomnier, ce d’autant qu’il convient d’être plus tolérant dans un contexte médical.</w:t>
      </w:r>
    </w:p>
    <w:p>
      <w:r>
        <w:t>- 8 - L’intimée peut au demeurant prouver que les affirmations contenues dans son rapport, si elles devaient en elles-mêmes réaliser les éléments objectifs de l’infraction de l’art. 173 ch. 1 CP, sont conformes à la vérité, ses propos étant largement confirmés et étayés par le dossier lui- même, en particulier par les déclarations des parties et des témoins entendus par le Tribunal correctionnel le 9 janvier 2017. La preuve libératoire de l’art. 173 ch. 2 CP est donc acquise. En effet, les déclarations de l’épouse X.________ sont claires lorsqu’elle explique que le recourant faisait fi de ses « non » clairement exprimés alors qu’il lui demandait de le masturber ou d’avoir une relation sexuelle (PV pp. 26, 27, 35, 37). S.________, pédopsychiatre intervenue lors de la séparation du recourant et de son épouse, a précisé que A.Q.________ avait alors reconnu « mettre la main au panier devant les enfants en niant toute excitation sexuelle » et avoir imposé une relation sexuelle à son épouse avec un de ses employés, que sa fille B.Q.________ avait parlé de « masturbation » et de « sexualité sous contrainte » avec sa mère, et que les enfants avaient parlé des pressions du père sur leur mère et de la violence de celui-ci sur la fratrie (PV pp. 7, 8, 9). Quant à M.________, psychothérapeute en formation ayant suivi X.________ entre juillet et novembre 2012, elle a parlé de la violence psychologique exercée par le recourant sur son épouse, du dénigrement vécu par celle-ci, de l’emprise que le recourant avait sur elle, de la difficulté du recourant d’entendre le refus de son épouse et du fait que l’épouse faisait l’impasse sur ses propres besoins (PV pp. 17, 18, 19). Egalement entendu, le recourant a admis avoir imposé à son épouse de coucher avec un tiers, relevant qu’elle n’aurait jamais dû accepter (PV p. 30), et avoir passé outre sa volonté pour avoir une relation sexuelle ou une masturbation, tout en exposant sa vision des grands et des petits « non » (PV pp. 29 et 31). Partant, et sans qu’il soit nécessaire d’instruire plus avant, les éléments au dossier ne permettent pas de retenir que les infractions de diffamation ou de calomnie seraient réalisées. C'est donc à bon droit que la Procureure a refusé d'entrer en matière sur la plainte du recourant.</w:t>
      </w:r>
    </w:p>
    <w:p>
      <w:r>
        <w:t>- 9 -</w:t>
      </w:r>
    </w:p>
    <w:p>
      <w:r>
        <w:rPr>
          <w:b/>
        </w:rPr>
        <w:t>E. 4</w:t>
      </w:r>
    </w:p>
    <w:p>
      <w:r>
        <w:t>En définitive, le recours, manifestement mal fondé, doit être rejeté sans autre échange d’écritures (art. 390 al. 2 CPP) et l’ordonnance de non-entrée en matière du 2 février 2017 confirmée.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 février 2017 est confirmée. III. Les frais du présent arrêt, par 880 fr. (huit cent huitante francs), sont mis à la charge de A.Q.________. IV. L’arrêt est exécutoire. Le président : La greffière : Du Le présent arrêt, dont la rédaction a été approuvée à huis clos, est notifié, par l'envoi d'une copie complète, à : - Me Cédric Aguet (pour A.Q.________), - Ministère public central,</w:t>
      </w:r>
    </w:p>
    <w:p>
      <w:r>
        <w:t>- 10 -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