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PE16.025513 vom 30. April 2019</w:t>
      </w:r>
    </w:p>
    <w:p>
      <w:r>
        <w:t>VD Tribunal cantonal, 2019-04-30, FR</w:t>
      </w:r>
    </w:p>
    <w:p>
      <w:r>
        <w:rPr>
          <w:b/>
        </w:rPr>
        <w:t xml:space="preserve">Quelle: </w:t>
      </w:r>
      <w:r>
        <w:t>https://mcp.opencaselaw.ch/entscheid/vd_gerichte_PE16.025513</w:t>
      </w:r>
    </w:p>
    <w:p>
      <w:r>
        <w:t>FR: VD_GERICHTE PE16.025513 du 30 avril 2019</w:t>
      </w:r>
    </w:p>
    <w:p>
      <w:r>
        <w:t>IT: VD_GERICHTE PE16.025513 del 30 aprile 2019</w:t>
      </w:r>
    </w:p>
    <w:p>
      <w:pPr>
        <w:pStyle w:val="Heading2"/>
      </w:pPr>
      <w:r>
        <w:t>Erwägungen</w:t>
      </w:r>
    </w:p>
    <w:p>
      <w:r>
        <w:rPr>
          <w:b/>
        </w:rPr>
        <w:t>E. 3</w:t>
      </w:r>
    </w:p>
    <w:p>
      <w:r>
        <w:t>et 5 à 8). Sur l’échafaudage lui-même, le plateau supérieur n’apparaît plus, tandis qu’à l’endroit où se trouvait le demi-plateau inférieur à l’origine, on ne discerne plus que la planche sur laquelle celui-ci reposait (cf. P. 23/2, p. 1). Sur la base des photographies versées au dossier, il apparaît donc hautement vraisemblable que l’échafaudage a subi une modification après sa livraison. Toutefois, il est peu probable que la modification apportée ait consisté à retirer le plateau supérieur, pour avoir la place de marcher sur le demi-plateau inférieur, comme l’a suggéré le prévenu lors de son audition. En effet, si c’était le demi-plateau inférieur qui avait cassé sous le poids du recourant, il ne se serait vraisemblablement pas partagé dans le sens de la largeur, mais dans le sens de la longueur, dès lors que ce demi-plateau était soutenu par la planche susmentionnée sur une moitié de sa largeur. Or, les photographies prises après l’accident semblent montrer que le plateau ou demi-plateau qui s’est cassé s’est partagé dans le sens de la largeur (cf. P. 23/2, pp. 5 à 8), ce qui indique qu’il s’agit</w:t>
      </w:r>
    </w:p>
    <w:p>
      <w:r>
        <w:t>- 12 - plutôt du plateau supérieur, et non du demi-plateau inférieur. Partant, si c’est à tort que le recourant conteste qu’une modification a été apportée à l’échafaudage après la livraison de celui-ci par le prévenu, rien ne permet d’affirmer, en revanche, que cette modification ait eu un rapport avec l’accident, car il est possible, voire vraisemblable, que le recourant soit tombé, comme il l’a toujours affirmé, du plateau d’en-dessus, lequel devait supporter le poids d’un travailleur. Le sort du recours dépend dès lors du point de savoir s’il est possible que le prévenu ou ses auxiliaires aient violé une règle de prudence au sens de l’art. 12 al. 3 CP, ou une règle de l’art de construire au sens de l’art. 229 CP, lors de l’installation du plateau supérieur.</w:t>
      </w:r>
    </w:p>
    <w:p>
      <w:r>
        <w:rPr>
          <w:b/>
        </w:rPr>
        <w:t>E. 3.1.1</w:t>
      </w:r>
    </w:p>
    <w:p>
      <w:r>
        <w:t>Aux termes de l'art. 125 CP (Code pénal suisse du 21 décembre 1937 ; RS 311.0),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lésions corporelles par négligence consiste dans le fait de causer à autrui, par négligence, des lésions corporelles au sens de l'art. 123 CP. Elle est réalisée lorsque trois éléments constitutifs sont réunis : une négligence, soit une violation des devoirs de la prudence, commise par l'auteur ; des lésions corporelles subies par la victime ; un lien de causalité naturelle et adéquate entre la négligence et les lésions (Corboz, Les infractions en droit suisse, vol. I, 3e éd., Berne 2010, nn. 2 à 7 ad art. 125 CP ; Dupuis et al. [éd.], Code pénal, Petit commentaire, 2e éd., Bâle 2017, n. 2 ad art. 125 CP). L'infraction visée par l'art. 125 CP est une infraction de résultat, qui suppose en général une action. Elle peut cependant aussi être réalisée par omission, lorsque l'auteur avait une position de garant, c'est- à-dire l'obligation juridique d'agir pour prévenir le résultat dommageable, laquelle peut résulter de la loi, d'un contrat ou des principes généraux, et lorsqu'il n'a pas empêché ce résultat de se produire, alors qu'il le pouvait (cf. art. 11 CP ; ATF 133 IV 158 consid. 5.1 ; ATF 113 IV 68 consid. 5).</w:t>
      </w:r>
    </w:p>
    <w:p>
      <w:r>
        <w:t>- 9 -</w:t>
      </w:r>
    </w:p>
    <w:p>
      <w:r>
        <w:rPr>
          <w:b/>
        </w:rPr>
        <w:t>E. 3.1.2</w:t>
      </w:r>
    </w:p>
    <w:p>
      <w:r>
        <w:t>L'art. 229 CP punit celui qui, intentionnellement (al. 1) ou par négligence (al. 2), aura enfreint les règles de l'art en dirigeant ou en exécutant une construction ou une démolition et aura par-là mis en danger la vie ou l'intégrité corporelle des personnes. La violation des règles de l'art de construire au sens de l'art. 229 CP réprime la création d'un danger collectif contre la vie et l'intégrité des personnes dans le domaine d'activité particulier qu'est la construction. Cette infraction est réalisée lorsque quatre éléments sont réunis : la direction ou l'exécution d'une construction ou d'une démolition, une violation des règles de l'art, une mise en danger de la vie ou de l'intégrité corporelle des personnes et un lien de causalité naturelle et adéquate entre le comportement de l’auteur et la mise en danger (Corboz, op. cit., n. 1 ad art. 229 CP). La violation des règles de l’art peut consister tant en un comportement actif inapproprié qu’en l’omission de prendre les mesures de protection adéquates, ce dernier cas n’étant punissable que si l’auteur occupe une position de garant (Dupuis et al, op. cit., n. 24 ad art. 229 CP et les références citées). L’infraction est commise intentionnellement lorsque l’auteur sait qu’il viole une règle de l’art, c’est-à-dire qu’il commet consciemment et volontairement une violation d’une prescription de sécurité claire, ou qu’il accepte cette éventualité (dol éventuel), et sait également qu’il en résultera un danger pour la vie et l’intégrité corporelle (le dol éventuel n’étant pas suffisant en ce qui concerne ce second point). L’infraction peut également être commise par négligence.</w:t>
      </w:r>
    </w:p>
    <w:p>
      <w:r>
        <w:rPr>
          <w:b/>
        </w:rPr>
        <w:t>E. 3.1.3</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w:t>
      </w:r>
    </w:p>
    <w:p>
      <w:r>
        <w:t>- 10 - excéder les limites du risque admissible. Selon la jurisprudence,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Lorsqu'il existe des normes de sécurité spécifiques qui imposent un comportement déterminé pour prévenir les accidents, le devoir de prudence se définit en premier lieu à l'aune de ces normes (ATF 143 IV 138 consid. 2.1 ; ATF 135 IV 56 consid. 2.1, JdT 2010 IV 43 ; TF 6B_1148/2018 du 6 décembre 2018 consid. 2.1). Dans le domaine de la construction, il convient en particulier de se référer aux prescriptions contenues dans l’ordonnance du 29 juin 2005 sur la sécurité et la protection de la santé des travailleurs dans les travaux de construction ([OTConst ; RS 832.311.141] ; ATF 104 IV 96, JdT 1979 IV 138). S’il y a eu violation des règles de la prudence, encore faut-il que celle-ci puisse être imputée à faute, c’est-à-dire que l'on puisse reprocher à l'auteur une inattention ou un manque d'effort blâmable (ATF 143 IV 138 précité ; ATF 135 IV 56 précité ; ATF 134 IV 255 consid. 4.2.3 et les références citées). Cette violation doit encore se trouver en rapport de causalité naturelle et adéquate avec le résultat de l'infraction (ATF 135 IV 56 précité ; TF 6B_631/2018 du 24 octobre 2018 consid. 1.1).</w:t>
      </w:r>
    </w:p>
    <w:p>
      <w:r>
        <w:rPr>
          <w:b/>
        </w:rPr>
        <w:t>E. 3.2</w:t>
      </w:r>
    </w:p>
    <w:p>
      <w:r>
        <w:t>En l’espèce, c’est à tort que le recourant conteste qu’une modification soit intervenue sur l’échafaudage. Certes, comme le fait valoir le recourant, les photographies qui se trouvent au dossier ont été fournies par l’intimé. Toutefois, les éléments de preuve matériels n’ayant pas été préservés par les intervenants et personne d’autre que le prévenu n’ayant pensé à prendre des photographies avant et après l’accident, ces photographies constituent les seuls relevés disponibles de la scène de l’accident. En outre, comme le montre la couleur du feuillage des arbres photographiés, les photographies que le prévenu a déclaré avoir prises le</w:t>
      </w:r>
    </w:p>
    <w:p>
      <w:r>
        <w:t>- 11 - 17 septembre 2016, versées au dossier comme pièces 23/1, ont bien été prises plusieurs semaines avant celles que le prévenu a déclaré avoir prises juste après l’accident, qui ont été versées au dossier comme pièces 23/2. Quant à ces dernières photographies, elles ont bien été prises juste après l’accident, puisqu’on y voit des débris et que le recourant lui-même s’y réfère pour montrer l’état de fait après l’accident. Or, d’une part, il est manifeste qu’à l’endroit où toutes les parties admettent que le recourant est tombé, l’échafaudage comportait à l’origine un demi-plateau au-dessus duquel, à une hauteur nettement inférieure à la hauteur d’un homme, se trouvait un plateau, plus long, dont la tranche de la largeur est jaune vif sur la photographie et sur lequel un homme pouvait se tenir debout (cf. P. 23/1, p. 3). Les photographies prises avant l’accident semblent aussi montrer que le demi-plateau inférieur reposait sur une planche qui dépassait un peu de l’échafaudage, d’une largeur à peu près deux fois plus petite que celle du demi-plateau (cf. P. 23/1, p. 3). D’autre part, les photographies prises juste après l’accident ne font apparaître, au sol, qu’un seul plateau ou demi-plateau (cf. P. 23/2, pp.</w:t>
      </w:r>
    </w:p>
    <w:p>
      <w:r>
        <w:rPr>
          <w:b/>
        </w:rPr>
        <w:t>E. 3.3.1</w:t>
      </w:r>
    </w:p>
    <w:p>
      <w:r>
        <w:t>Sur le plan objectif, le recourant reproche à l’intimé diverses violations de règles de prudence ou de règles de l’art de construire.</w:t>
      </w:r>
    </w:p>
    <w:p>
      <w:r>
        <w:rPr>
          <w:b/>
        </w:rPr>
        <w:t>E. 3.3.1.1</w:t>
      </w:r>
    </w:p>
    <w:p>
      <w:r>
        <w:t>Lorsqu’il a été entendu par la Procureure, le recourant a tout d’abord soutenu que le prévenu aurait violé objectivement une règle de prudence et de l’art de construire en choisissant, pour le platelage de la zone où il était tombé, un plateau en bois qui n’était pas renforcé par une tige métallique. Cette opinion ne saurait être suivie. En effet, aucune règle légale ou réglementaire, ni aucune règle de sécurité reconnue édictée par un organisme ou par une association ayant pour but de promouvoir la sécurité au travail, n’exige que les plateaux en bois installés sur des échafaudages soient renforcés par des tiges métalliques et on ne discerne pas en quoi il serait par principe imprudent de choisir des plateaux exclusivement en bois.</w:t>
      </w:r>
    </w:p>
    <w:p>
      <w:r>
        <w:rPr>
          <w:b/>
        </w:rPr>
        <w:t>E. 3.3.1.2</w:t>
      </w:r>
    </w:p>
    <w:p>
      <w:r>
        <w:t>Dans son acte de recours, le recourant soutient aussi que le prévenu aurait eu une position de garant et semble vouloir lui reprocher – la position de garant de l’auteur n’ayant d’importance que si on entend reprocher une omission à celui-ci – de ne pas être venu inspecter régulièrement l’échafaudage après la livraison de celui-ci.</w:t>
      </w:r>
    </w:p>
    <w:p>
      <w:r>
        <w:t>- 13 - Cette opinion ne saurait davantage être suivie. En effet, aux termes de l’art. 49 al. 1 OTConst, l’échafaudage doit être contrôlé visuellement chaque jour par tout utilisateur ; s’il présente des défauts, il ne peut être utilisé. Il résulte ainsi de cette disposition qu’après la mise en service de l’échafaudage, c’est en premier lieu aux utilisateurs qu’il appartient de vérifier visuellement l’état de l’échafaudage. Le monteur n’est tenu quant à lui de venir procéder à de nouvelles vérifications que s’il est appelé par les utilisateurs.</w:t>
      </w:r>
    </w:p>
    <w:p>
      <w:r>
        <w:rPr>
          <w:b/>
        </w:rPr>
        <w:t>E. 3.3.1.3</w:t>
      </w:r>
    </w:p>
    <w:p>
      <w:r>
        <w:t>Le recourant reproche encore à l’intimé d’avoir utilisé un plateau qui était peut-être usagé. Ce grief ne résiste pas à l’examen. En effet, aucune disposition de l’OTConst, ni aucune autre règle de sécurité, ne pose une durée limite d’utilisation des éléments d’échafaudage en bois. Il importe uniquement que ces éléments ne soient pas endommagés et qu’ils soient en état de satisfaire aux exigences des art. 37 et 44 OTConst (cf. infra).</w:t>
      </w:r>
    </w:p>
    <w:p>
      <w:r>
        <w:rPr>
          <w:b/>
        </w:rPr>
        <w:t>E. 3.3.1.4</w:t>
      </w:r>
    </w:p>
    <w:p>
      <w:r>
        <w:t>Ces précisions apportées, il n’en demeure pas moins que, selon l’art. 37 al. 1 OTConst, seuls les échafaudages et les éléments d’échafaudage qui répondent aux exigences de la LSPro (Loi fédérale du 12 juin 2009 sur la sécurité des produits ; RS 930.11) peuvent être utilisés. L’alinéa 2 de la même disposition réglementaire précise en outre qu’ils doivent pouvoir supporter toutes les forces susceptibles d’exercer une action, même pendant le montage, la modification et le démontage, notamment : les charges utiles (let. b) et les forces dynamiques, comme celles résultant d’un saut, d’une chute ou de trépidations (let. e) (cf. TF 4A_189/2018 du 6 août 2018 consid. 4.3.2). En vertu de l’art. 38 OTConst, les composants d’échafaudages courbés, pliés, corrodés ou endommagés de toute autre façon ne peuvent être utilisés. Enfin, selon l’art. 44 OTConst, un échafaudage de service monté pour des travaux de crépissage ou de peinture, soit avec du matériel léger, doit pouvoir supporter une charge minimale de 2 kN/m2, soit d’environ 200 kg/m2.</w:t>
      </w:r>
    </w:p>
    <w:p>
      <w:r>
        <w:t>- 14 - Dans le cas présent, au moment de l’accident, le plateau sur lequel le recourant a marché ne répondait pas, ou plus, aux exigences des art. 37 al. 2 et 44 OTConst, en ce qu’il n’a pas supporté une charge qu’il aurait dû supporter. L’échafaudage était alors en service depuis près de deux mois et le recourant lui-même a déclaré qu’il l’avait déjà utilisé (PV aud. 1, l. 44-45). Ainsi, tout indique que le plateau qui a cédé s’était endommagé progressivement au cours des travaux, peut-être sous l’effet des intempéries. Le prévenu peut dès lors avoir objectivement manqué aux obligations découlant pour lui des art. 37 al. 2 et 44 OTConst si, au moment où il a choisi le plateau – ou validé le choix de ce plateau par l’un de ses auxiliaires – celui-ci présentait déjà un défaut dont on pouvait prévoir l’évolution et les effets dommageables. Ne constitue pas un tel défaut le seul fait que le plateau ait peut-être été usagé (cf. supra, consid. 3.3.1.3). Or, aucun indice révélé par l’instruction ne permet de soupçonner sérieusement le prévenu d’avoir violé intentionnellement les règles de prudence et de l’art de construire énoncées par les art. 37 al. 2 et 44 OTConst et la Cour de céans ne discerne pas quelles mesures d’instruction supplémentaires pourraient être prises pour établir une hypothétique intention du prévenu, de sorte que les conclusions principales du recourant tendant à l’annulation de l’ordonnance attaquée et au renvoi de la cause au Ministère public pour complément d’instruction sur une violation intentionnelle des règles de l’art de construire doivent être rejetées. La question qui se pose est dès lors exclusivement celle de savoir si la violation objective des règles de prudence et de l’art de construire relevée ci-dessus pourrait être imputable à un manque d’attention ou d’effort blâmable du prévenu. Si tel est le cas – et seulement si tel est le cas – cette violation objective est susceptible de constituer une négligence au sens de l’art. 12 al. 3 CP et, partant, les infractions de lésions corporelles, graves ou simples, par négligence et de violation par négligence des règles de l’art de construire.</w:t>
      </w:r>
    </w:p>
    <w:p>
      <w:r>
        <w:rPr>
          <w:b/>
        </w:rPr>
        <w:t>E. 3.3.2</w:t>
      </w:r>
    </w:p>
    <w:p>
      <w:r>
        <w:t>Sur le plan subjectif, le recourant reproche à l’intimé de s’être contenté d’un simple examen visuel du plateau. Il semble d’avis que le</w:t>
      </w:r>
    </w:p>
    <w:p>
      <w:r>
        <w:t>- 15 - prévenu aurait encore dû procéder à d’autres vérifications, mais il n’indique pas lesquelles. La Cour de céans ne discernant pas, elle non plus, à quelles autres vérifications le prévenu aurait encore pu et dû procéder, il y a lieu de considérer que l’imprudence objective commise par celui-ci en posant le plateau qui s’est cassé n’est pas imputable à une inattention ou à un manque d’effort blâmable. Elle ne constitue dès lors pas une négligence au sens des art. 12 al. 3, 125 et 229 al. 2 CP, de sorte que c’est à bon droit que le Ministère public a ordonné le classement de la procédure.</w:t>
      </w:r>
    </w:p>
    <w:p>
      <w:r>
        <w:rPr>
          <w:b/>
        </w:rPr>
        <w:t>E. 4</w:t>
      </w:r>
    </w:p>
    <w:p>
      <w:r>
        <w:t>Il résulte de ce qui précède que le recours, manifestement mal fondé, doit être rejeté sans échange d’écritures (art. 390 al. 2 CPP), et l’ordonnance entreprise confirmée. Les frais de la procédure de recours, constitués en l’espèce du seul émolument d’arrêt (art. 422 al. 1 CPP), par 1’540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L’ordonnance du 15 novembre 2018 est confirmée. III. Les frais d’arrêt, par 1’540 fr. (mille cinq cent quarante francs), sont mis à la charge d’A.T.________.</w:t>
      </w:r>
    </w:p>
    <w:p>
      <w:r>
        <w:t>- 16 - IV. L’arrêt est exécutoire. Le vice-président : La greffière : Du Le présent arrêt, dont la rédaction a été approuvée à huis clos, est notifié, par l'envoi d'une copie complète, à : - Me Rébecca Grand, avocate (pour A.T.________), - Me Philippe Mercier, avocat (pour 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