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PE16.025386 vom 23. Mai 2017</w:t>
      </w:r>
    </w:p>
    <w:p>
      <w:r>
        <w:t>VD Tribunal cantonal, 2017-05-23, FR</w:t>
      </w:r>
    </w:p>
    <w:p>
      <w:r>
        <w:rPr>
          <w:b/>
        </w:rPr>
        <w:t xml:space="preserve">Quelle: </w:t>
      </w:r>
      <w:r>
        <w:t>https://mcp.opencaselaw.ch/entscheid/vd_gerichte_PE16.025386</w:t>
      </w:r>
    </w:p>
    <w:p>
      <w:r>
        <w:t>FR: VD_GERICHTE PE16.025386 du 23 mai 2017</w:t>
      </w:r>
    </w:p>
    <w:p>
      <w:r>
        <w:t>IT: VD_GERICHTE PE16.025386 del 23 maggio 2017</w:t>
      </w:r>
    </w:p>
    <w:p>
      <w:pPr>
        <w:pStyle w:val="Heading2"/>
      </w:pPr>
      <w:r>
        <w:t>Erwägungen</w:t>
      </w:r>
    </w:p>
    <w:p>
      <w:r>
        <w:rPr>
          <w:b/>
        </w:rPr>
        <w:t>E. 1</w:t>
      </w:r>
    </w:p>
    <w:p>
      <w:r>
        <w:t>- 4 -</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la plaignante qui a qualité pour recourir (art. 382 al. 1 CPP), le recours est recevable.</w:t>
      </w:r>
    </w:p>
    <w:p>
      <w:r>
        <w:rPr>
          <w:b/>
        </w:rPr>
        <w:t>E. 2.1</w:t>
      </w:r>
    </w:p>
    <w:p>
      <w:r>
        <w:t>Une ordonnance de non-entrée en matière, au sens de l'art. 310 CPP,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Selon l'art. 310 al. 1 let a CPP, il importe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w:t>
      </w:r>
    </w:p>
    <w:p>
      <w:r>
        <w:t>- 5 - enquête pénale (ATF 137 IV 285, JT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En effet, il ne se justifie pas d’ouvrir une instruction pénale (cf. art. 309 CPP) qui devra être close par une ordonnance de classement dans la mesure où une condamnation apparaît très vraisemblablement exclue (ATF 138 IV 86 consid. 4.1.1 ; TF 1B_272/2011 du 22 mars 2012 consid. 3.1.1).</w:t>
      </w:r>
    </w:p>
    <w:p>
      <w:r>
        <w:rPr>
          <w:b/>
        </w:rPr>
        <w:t>E. 2.2</w:t>
      </w:r>
    </w:p>
    <w:p>
      <w:r>
        <w:t>En l'espèce, le Ministère public a considéré, s’agissant de la protection de la marque, que le terme[...] était une expression commune généralement utilisée dans le domaine en question et que d'après l'extrait du registre de l'Institut Fédéral de la Propriété Intellectuelle ce n’était pas ce terme qui était protégé mais le sigle combiné avec le graphisme et les couleurs, de sorte que le terme générique [...] ne bénéficiait d'aucune protection particulière. Il en allait de même s'agissant de l'infraction à la Loi fédérale contre la concurrence déloyale car la plaignante ne faisait pas état dans sa plainte d’un risque de confusion susceptible d’influer sur les rapports entre concurrents ou fournisseurs et clients. Il s’agissait donc d’un litige purement civil, la plaignante ─ qui avait ouvert action simultanément auprès de la Cour civile du Tribunal cantonal (P. 4/3/9) ─ instrumentalisant la voie pénale pour influencer le procès civil. La recourante soutient que le risque de confusion qu'elle avait allégué dans sa plainte du 22 décembre 2016 serait établi dès lors qu'elle aurait reçu, le 20 février 2017, à son adresse E-mail, un courriel destiné à la prévenue. Elle reproche en outre au Ministère public d'avoir renoncé à ouvrir une instruction pénale, en violation de l'art. 309 CPP, d'avoir abusé de son pouvoir d'appréciation en la renvoyant à agir au plan civil et de l'avoir privée de toute chance de voir l'usage de la marque [...] préservé par le prononcé d'une sanction pénale.</w:t>
      </w:r>
    </w:p>
    <w:p>
      <w:r>
        <w:rPr>
          <w:b/>
        </w:rPr>
        <w:t>E. 2.3</w:t>
      </w:r>
    </w:p>
    <w:p>
      <w:r>
        <w:t>- 6 -</w:t>
      </w:r>
    </w:p>
    <w:p>
      <w:r>
        <w:rPr>
          <w:b/>
        </w:rPr>
        <w:t>E. 2.3.1</w:t>
      </w:r>
    </w:p>
    <w:p>
      <w:r>
        <w:t>L'art. 1 al. 1 LPM dispose que la marque est un signe propre à distinguer les produits ou les services d’une entreprise de ceux d’autres entreprises. Selon l'art. 13 LPM, le droit à la marque confère au titulaire le droit exclusif de faire usage de la marque pour distinguer les produits ou les services enregistrés et d’en disposer (al. 1). Selon l'al. 2 de cette disposition, le titulaire peut interdire à des tiers l'usage des signes dont la protection est exclue en vertu de l'art. 3, al. 1; il peut en particulier interdire à des tiers, d'apposer le signe concerné sur des produits ou des emballages (let. a), de l'utiliser pour offrir des produits, les mettre dans le commerce ou les détenir à cette fin (let. b), de l'utiliser pour offrir ou fournir des services (let. c), de l'utiliser pour importer, exporter ou faire transiter des produits (let. d), de l'apposer sur des papiers d'affaires, de l'utiliser à des fins publicitaires ou d'en faire usage de quelqu'autre manière dans les affaires (let e). L’art. 2 LPM prévoit toutefois des motifs absolus d’exclusion de la protection, parmi lesquels les signes appartenant au domaine public, sauf s’ils se sont imposés comme marque pour les produits ou les services concernés (let. a), les formes qui constituent la nature même du produit et les formes du produit ou de l’emballage qui sont techniquement nécessaires (let. b), les signes propres à induire en erreur (let. c) et les signes contraires à l’ordre public, aux bonnes mœurs ou droit en vigueur (let. d). L'art. 61 LPM dispose que, sur plainte du lésé, est puni d’une peine privative de liberté d’un an au plus ou d’une peine pécuniaire celui qui, intentionnellement, viole le droit à la marque d’autrui en usurpant, contrefaisant ou imitant ladite marque (al. 1 let. a); en utilisant la marque usurpée, contrefaite ou imitée pour offrir ou mettre en circulation des produits, fournir des services, importer, exporter ou faire transiter des produits ou des services, ou faire de la publicité (al.1 let. b). Est puni de la même peine, sur plainte du lésé, celui qui refuse d’indiquer la provenance et la quantité des objets se trouvant en sa possession et sur lesquels la marque a été apposée illicitement et de désigner les destinataires et la quantité des objets qui ont été remis à des acheteurs commerciaux (al. 2).</w:t>
      </w:r>
    </w:p>
    <w:p>
      <w:r>
        <w:t>- 7 - Si l’auteur de l’infraction agit par métier, il est poursuivi d’office. La peine est une peine privative de liberté de cinq ans au plus ou une peine pécuniaire. En cas de peine privative de liberté, une peine pécuniaire est également prononcée (al. 3).</w:t>
      </w:r>
    </w:p>
    <w:p>
      <w:r>
        <w:rPr>
          <w:b/>
        </w:rPr>
        <w:t>E. 2.3.2</w:t>
      </w:r>
    </w:p>
    <w:p>
      <w:r>
        <w:t>En l’espèce, P.________ n’expose nullement en quoi l’appréciation de la procureure serait erronée. Elle ne réfute pas, en particulier, que le terme [...] entre dans le champ d’application de l’art. 2 let. a LMP et n'est donc pas protégé par cette loi. En tout état de cause, selon l'extrait du registre de l'Institut Fédéral de la Propriété Intellectuelle, ce n'est pas le terme [...] seul qui est protégé, mais bien le sigle combiné avec le graphisme et les couleurs. En utilisant le terme [...] dans sa raison sociale, F.________ n'a donc pas violé la LPM.</w:t>
      </w:r>
    </w:p>
    <w:p>
      <w:r>
        <w:rPr>
          <w:b/>
        </w:rPr>
        <w:t>E. 2.4.1</w:t>
      </w:r>
    </w:p>
    <w:p>
      <w:r>
        <w:t>L'art. 23 LCD sanctionne, sur plainte, le comportement de celui qui, intentionnellement, se sera rendu coupable de concurrence déloyale au sens des articles 3, 4, 5 ou 6 LCD. D’après l’art. 3 al. 1 let. d LCD, agit de façon déloyale celui qui prend des mesures qui sont de nature à faire naître une confusion avec les marchandises, les oeuvres, les prestations ou les affaires d’autrui. L'auteur doit avoir agi intentionnellement, c'est-à-dire avec conscience et volonté, le dol éventuel étant suffisant (TF 6S.684/2001 du 18 janvier 2002). En proscrivant ce type de comportements, la loi veut empêcher que l'estime dont jouit un concurrent auprès des consommateurs soit déloyalement mise à profit par un autre concurrent pour la vente de ses propres marchandises (ATF 125 III 401 consid. 5). Pour en juger, il faut toujours se demander si tel signe est à ce point semblable à tel autre que les consommateurs risquent de confondre les marchandises désignées par les deux signes (ATF 128 III 146 consid. 2a et l'arrêt cité). C'est sensiblement à la même aune qu'il convient de déterminer l'existence d'un risque de confusion entre deux signes dans les</w:t>
      </w:r>
    </w:p>
    <w:p>
      <w:r>
        <w:t>- 8 - différentes branches du droit des signes distinctifs (ATF 127 III 160 consid. 2b et c). Sous l'angle du droit de la concurrence, le risque de confusion s'apprécie en fonction du conditionnement des marchandises et de l'ensemble des circonstances propres à individualiser celles-ci dans l'esprit d'un acheteur doué d'une attention moyenne (ATF 116 II 365 consid. 4 ; CAPE 9 décembre 2011/147, consid. 2.1.1 et réf.).</w:t>
      </w:r>
    </w:p>
    <w:p>
      <w:r>
        <w:rPr>
          <w:b/>
        </w:rPr>
        <w:t>E. 2.4.2</w:t>
      </w:r>
    </w:p>
    <w:p>
      <w:r>
        <w:t>En l’espèce, la recourante se contente d’invoquer un risque de confusion engendré par l’utilisation de l’expression[...], sans chercher à démontrer en quoi l’usage de ce terme générique, couramment utilisé dans le domaine d’activité des parties, constituerait un comportement prohibé par la LCD. Dans la mesure où il s’avère que le seul agissement dénoncé par la recourante est parfaitement licite sous l’angle de la LPM, on ne discerne aucun autre aspect de ce comportement susceptible d’entrer dans le champ d’application de la LCD, la recourante n’en alléguant d’ailleurs aucun. Le fait qu'P.________ ait reçu un courriel destiné à sa concurrente montre qu'elle est plus facilement repérable. Il ne permet pas d'inférer que F.________ aurait sciemment créé une confusion pour exploiter à son profit l'estime dont P.________ jouirait auprès des consommateurs. Les agissements de la prévenue ne tombent donc pas non plus sous le coup des normes pénales de la LCD.</w:t>
      </w:r>
    </w:p>
    <w:p>
      <w:r>
        <w:rPr>
          <w:b/>
        </w:rPr>
        <w:t>E. 2.5</w:t>
      </w:r>
    </w:p>
    <w:p>
      <w:r>
        <w:t>Le litige étant de nature purement civile, le Ministère public pouvait renoncer à l'ouverture formelle d'une enquête au sens l'art. 309 CPP et rendre une ordonnance de non-entrée en matière.</w:t>
      </w:r>
    </w:p>
    <w:p>
      <w:r>
        <w:rPr>
          <w:b/>
        </w:rPr>
        <w:t>E. 3.1</w:t>
      </w:r>
    </w:p>
    <w:p>
      <w:r>
        <w:t>En définitive, le recours d'P.________, manifestement mal fondé, doit être rejeté sans échange d’écritures (art. 390 al. 2 CPP) et l'ordonnance de non-entrée en matière du 15 mars 2017 confirmée.</w:t>
      </w:r>
    </w:p>
    <w:p>
      <w:r>
        <w:rPr>
          <w:b/>
        </w:rPr>
        <w:t>E. 3.2</w:t>
      </w:r>
    </w:p>
    <w:p>
      <w:r>
        <w:t>Les frais de la procédure de recours, constitués en l’espèce du seul émolument d’arrêt (art. 422 al. 1 CPP), par 880 fr. (art. 20 al. 1 TFIP [tarif des frais de procédure et indemnités en matière pénal ; RSV</w:t>
      </w:r>
    </w:p>
    <w:p>
      <w:r>
        <w:t>- 9 - 312.03.1]), seront mis à la charge de la recourante, qui succombe (art. 428 al. 1 CPP). Par ces motifs, la Chambre des recours pénale prononce : I. Le recours est rejeté. II. L'ordonnance du 15 mars 2017 est confirmée. III. Les frais de la procédure de recours, par 880 fr. (huit cent huitante francs), sont mis à la charge de la recourante P.________. IV. L’arrêt est exécutoire. Le président : La greffière : Du Le présent arrêt, dont la rédaction a été approuvée à huis clos, est notifié, par l'envoi d'une copie complète, à : - Me Raphaël Schindelholz, avocat (pour P.________), - Me Pierre-Alain Killias, avocat (pour C.________), - Ministère public central, et communiqué à : - Mme la Procureure de l'arrondissement La Côte,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