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PE16.025283 vom 22. August 2018</w:t>
      </w:r>
    </w:p>
    <w:p>
      <w:r>
        <w:t>VD Tribunal cantonal, 2018-08-22, FR</w:t>
      </w:r>
    </w:p>
    <w:p>
      <w:r>
        <w:rPr>
          <w:b/>
        </w:rPr>
        <w:t xml:space="preserve">Quelle: </w:t>
      </w:r>
      <w:r>
        <w:t>https://mcp.opencaselaw.ch/entscheid/vd_gerichte_PE16.025283</w:t>
      </w:r>
    </w:p>
    <w:p>
      <w:r>
        <w:t>FR: VD_GERICHTE PE16.025283 du 22 août 2018</w:t>
      </w:r>
    </w:p>
    <w:p>
      <w:r>
        <w:t>IT: VD_GERICHTE PE16.025283 del 22 agosto 2018</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du Tribunal cantonal est compétente pour statuer sur la demande de récusation présentée par A.K.________ contre la Présidente du Tribunal de police de l'arrondissement de Lausanne, [...] (art. 13 al. 1 LVCPP [Loi cantonale d’introduction du Code de procédure pénale suisse du 19 mai 2009 ; RSV 312.01]).</w:t>
      </w:r>
    </w:p>
    <w:p>
      <w:r>
        <w:rPr>
          <w:b/>
        </w:rPr>
        <w:t>E. 2.1</w:t>
      </w:r>
    </w:p>
    <w:p>
      <w:r>
        <w:t>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 TF 1B 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 2.1 et réf.).</w:t>
      </w:r>
    </w:p>
    <w:p>
      <w:r>
        <w:rPr>
          <w:b/>
        </w:rPr>
        <w:t>E. 2.2.1</w:t>
      </w:r>
    </w:p>
    <w:p>
      <w:r>
        <w:t>Le devoir d’agir de bonne foi et l’interdiction d’abuser d’un droit s’étendent à l’ensemble des domaines du droit, en particulier à la procédure pénale (ATF 120 IV 146; ATF 125 IV 79). Ils sont désormais consacrés à l’art. 3 al. 2 let. a et b CPP, également applicable aux parties, nonobstant la teneur de cette disposition (TF 6B_5/2013 du 19 février 2013 consid. 2.7; TF 6B_1220/2014 du 22 juin 2015 consid. 1.2.2). L’abus de droit peut résulter de procédés téméraires continuels, de procédés dilatoires ou de l’utilisation d’une institution juridique à des fins étrangères au but même de la disposition légale qui la consacre, de telle sorte que l’écart entre le droit exercé et l’intérêt qu’il est censé protéger soit manifeste (TF 6B_1220/2014 précité ; Piquerez/Macaluso, Procédure pénale suisse, 3ème éd, p. 147).</w:t>
      </w:r>
    </w:p>
    <w:p>
      <w:r>
        <w:t>- 8 -</w:t>
      </w:r>
    </w:p>
    <w:p>
      <w:r>
        <w:rPr>
          <w:b/>
        </w:rPr>
        <w:t>E. 2.2.2</w:t>
      </w:r>
    </w:p>
    <w:p>
      <w:r>
        <w:t>L’avocat agit de manière contraire à l’art. 12 LLCA [Loi fédérale sur la libre circulation des avocats du 23 juin 2000 (RS 935.61)] lorsqu'il s'exprime en violation des règles de la bonne foi (TF 2C_551/2014 du 9 février 2015 consid. 4.1). Le recours à des expressions attentatoire à l'honneur n’est pas exclu a priori mais dans un tel cas également la critique doit toutefois être pertinente est nécessaire (ATF 131 IV 154 consid. 1.3.2 p. 157 ss). Que ce soit dans ses rapports avec sa partie adverse ou avec l’autorité, on doit pouvoir, en d’autres termes, attendre de l'avocat qu’il s'en tienne à l’objet du litige et qu’il renonce à des attaques personnelles. La confrontation avec la partie adverse, avec l’avocat de celle-ci ou avec l’autorité doit pas se déplacer sur un plan personnel, car cela fait obstacle au fonctionnement de l’appareil judiciaire et ─ ce qui n’est pas à la moindre des choses – nuit également aux propres intérêts du client (ATF 106 Ia 100 consid. 8b p. 108 ; TF 2C_551/2014 du 9 février 2015 consid. 4.1 ; TF 2C_737/2008 du 8 avril 2009 consid.3.3 et TF 2A.168/2005 du 6 septembre 2005 consid. 2.3.3).</w:t>
      </w:r>
    </w:p>
    <w:p>
      <w:r>
        <w:rPr>
          <w:b/>
        </w:rPr>
        <w:t>E. 2.3</w:t>
      </w:r>
    </w:p>
    <w:p>
      <w:r>
        <w:t>En l’espèce, A.K.________A.K.________ a déposé une demande de récusation à l'encontre de la Présidente [...] à qui elle reproche un manque d’impartialité qui pourrait être déduit de ses rejets de réquisition de preuve. Comme elle l'indique dans sa détermination, cette magistrate n'a rejeté que certains moyens de preuve et ses rejets ont été motivés de manière circonstanciée dans la décision incidente rendue au cours de l'audience du 14 août 2018 (cf. supra pp. 3-4). Elle a ainsi complété si besoin était la communication du 5 juillet 2018 émanant d’un gestionnaire de dossier et non de la direction de la procédure. Il n’y a manifestement aucun indice de prévention. En réalité, A.K.________, par son conseil, n’a pas tenté de faire pression sur la Présidente [...] pour qu'elle accepte tous ses moyens de preuve, alors que la récusation n’a pas pour but de permettre aux parties de contester la manière dont est menée l’instruction</w:t>
      </w:r>
    </w:p>
    <w:p>
      <w:r>
        <w:t>- 9 - (cf. supra consid. 2. 1 in fine), mais sert à prévenir et sanctionner des manques d’impartialité caractérisés.</w:t>
      </w:r>
    </w:p>
    <w:p>
      <w:r>
        <w:rPr>
          <w:b/>
        </w:rPr>
        <w:t>E. 3</w:t>
      </w:r>
    </w:p>
    <w:p>
      <w:r>
        <w:t>En définitive, la demande de récusation déposée par Me Alessandro Brenci pour A.K.________ est mal fondée et doit être rejetée. Elle paraît avoir été déposée par cet avocat en violation des art. 12 LLCA et 3 al. 2 CPP. Les frais de procédure, constitués en l’espèce du seul émolument de décision, par 880 fr. (art. 20 al. 1 TFIP [Tarif des frais de procédure et indemnités en matière pénale du 28 septembre 2010; RSV 312.03.1]), seront mis à la charge de la requérante (art. 59 al. 4 CPP). Par ces motifs, la Chambre des recours pénale prononce : I. La demande de récusation déposée le 14 août 2018 par A.K.________ à l'encontre de la Présidente [...] est rejetée. II. Les frais de la décision, par 880 fr. (huit cent huitante francs), sont mis à la charge de A.K.________. III. La décision est exécutoire. Le président : La greffière : Du Le présent arrêt, dont la rédaction a été approuvée à huis clos, est notifié, par l'envoi d'une copie complète, à : - Mme la Présidente du Tribunal de police de l'arrondissement de Lausanne,</w:t>
      </w:r>
    </w:p>
    <w:p>
      <w:r>
        <w:t>- 10 - - Me Alessandro Brenci, avocat (pour A.K.________),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