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PE16.024905 vom 31. März 2017</w:t>
      </w:r>
    </w:p>
    <w:p>
      <w:r>
        <w:t>VD Tribunal cantonal, 2017-03-31, FR</w:t>
      </w:r>
    </w:p>
    <w:p>
      <w:r>
        <w:rPr>
          <w:b/>
        </w:rPr>
        <w:t xml:space="preserve">Quelle: </w:t>
      </w:r>
      <w:r>
        <w:t>https://mcp.opencaselaw.ch/entscheid/vd_gerichte_PE16.024905</w:t>
      </w:r>
    </w:p>
    <w:p>
      <w:r>
        <w:t>FR: VD_GERICHTE PE16.024905 du 31 mars 2017</w:t>
      </w:r>
    </w:p>
    <w:p>
      <w:r>
        <w:t>IT: VD_GERICHTE PE16.024905 del 31 marzo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En l’espèce, c’est à juste titre que le recourant, qui a reconnu lors de son audition d’arrestation avoir dérobé des objets dans vingt ou vingt-cinq voitures, ne conteste pas l’existence de forts soupçons contre lui. Le recourant ne conteste pas non plus le risque de fuite, qui est à l’évidence réalisé, dès lors que, ressortissant du Maroc, sans statut</w:t>
      </w:r>
    </w:p>
    <w:p>
      <w:r>
        <w:t>- 4 - de séjour légal, sans activité ni domicile connu, il n’a aucune espèce d’attache avec la Suisse (ATF 125 I 60 consid. 3a ; ATF 117 Ia 69 consid. 4a ; TF 1B_154/2015 du 13 mai 2015 consid. 3.1 TF 1B_87/2014 du 19 mars 2014 consid. 3.1 ; TF 1B_145/2012 du 19 avril 2012 consid. 3.1 non publié aux ATF 138 IV 81). Le recourant ne remet pas davantage en cause le risque de récidive (art. 221 al. 1 let. c CPP), lequel justifie également la prolongation de la détention provisoire. L’extrait de son casier judiciaire mentionne en effet six condamnations prononcées entre le 12 mai 2014 et le 19 septembre 2016 pour des infractions de même nature que celles qui font l’objet de la présente procédure. Par ailleurs, les ressources du recourant sont très modestes. Dans ces circonstances, il y a sérieusement lieu de craindre qu’il ne commette de nouvelles infractions contre le patrimoine pour améliorer ses conditions d’existence. Le pronostic est ainsi clairement défavorable (cf. TF 1B_373/2016 du 23 novembre 2016 consid. 2.5, destiné à la publication, et les références citées).</w:t>
      </w:r>
    </w:p>
    <w:p>
      <w:r>
        <w:rPr>
          <w:b/>
        </w:rPr>
        <w:t>E. 3.1</w:t>
      </w:r>
    </w:p>
    <w:p>
      <w:r>
        <w:t>Le recourant ne propose aucune mesure de substitution à la détention provisoire au sens de l’art. 237 CPP. On ne voit d’ailleurs pas quelle mesure serait propre à pallier les risques retenus par le Tribunal des mesures de contrainte. Il soutient en revanche que la prolongation de la détention provisoire pour une nouvelle durée de trois mois violerait le principe de la proportionnalité, au vu de la peine encourue concrètement. Il fait valoir que les vols qu’il a admis ne porteraient que sur des objets de peu de valeur, que ces infractions ne lui auraient procuré aucun revenu et qu’il aurait agi seul. Les circonstances aggravantes de la bande et du métier ne pourraient ainsi pas être envisagées.</w:t>
      </w:r>
    </w:p>
    <w:p>
      <w:r>
        <w:rPr>
          <w:b/>
        </w:rPr>
        <w:t>E. 3.2</w:t>
      </w:r>
    </w:p>
    <w:p>
      <w:r>
        <w:t>La proportionnalité de la détention provisoire (art. 212 al. 3 CPP) doit être examinée au regard de l’ensemble des circonstances concrètes du cas d’espèce (ATF 133 I 168 consid. 4.1 et les arrêts cités). A</w:t>
      </w:r>
    </w:p>
    <w:p>
      <w:r>
        <w:t>- 5 -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3.3</w:t>
      </w:r>
    </w:p>
    <w:p>
      <w:r>
        <w:t>En l’espèce, le recourant est détenu depuis le 16 décembre 2016, soit depuis un peu moins de quatre mois. On rappelle qu’à son casier judiciaire figurent six condamnations prononcées entre mai 2014 et septembre 2016. En particulier, le recourant a été condamné le 22 mars 2016 par le Tribunal pénal de la Gruyère, pour vol par métier, dommages à la propriété, recel, violation de domicile et infraction à la LEtr notamment, à une peine privative de liberté de 18 mois, dont 9 mois avec sursis durant 5 ans, sous déduction de 51 jours de détention préventive, en raison d’actes de même nature que ceux qui lui sont reprochés. S’agissant de la présente procédure, il convient de tenir compte de l’intensité de l’activité délictueuse déployée par le recourant, dont témoignent le nombre de voitures qu’il a visitées en l’espace de deux mois et demi et le nombre d’objets (143) qui ont été découverts dans le cabanon qu’il occupait (cf. P. 9 et 10). Dans ces circonstances, et même si, pris isolément, les objets dérobés n’ont pas une très grande valeur, le recourant est exposé au prononcé d’une peine privative de liberté d’une durée supérieure à celle de la détention provisoire subie, si les faits qui lui sont imputés étaient avérés, étant précisé que la circonstance aggravante du métier ne peut pas être exclue en l’état. Enfin, la procureure annonce que le rapport final de police devrait être déposé au début du mois d’avril 2017 et que le recourant sera renvoyé devant l’autorité de jugement après son audition récapitulative. Le principe de proportionnalité demeure ainsi respecté.</w:t>
      </w:r>
    </w:p>
    <w:p>
      <w:r>
        <w:rPr>
          <w:b/>
        </w:rPr>
        <w:t>E. 4</w:t>
      </w:r>
    </w:p>
    <w:p>
      <w:r>
        <w:t>- 6 -</w:t>
      </w:r>
    </w:p>
    <w:p>
      <w:r>
        <w:rPr>
          <w:b/>
        </w:rPr>
        <w:t>E. 4.1</w:t>
      </w:r>
    </w:p>
    <w:p>
      <w:r>
        <w:t>Invoquant une violation du principe de la célérité, le recourant soutient qu’aucune opération importante de police n’a été accomplie entre les mois de décembre 2016 et de mars 2017.</w:t>
      </w:r>
    </w:p>
    <w:p>
      <w:r>
        <w:rPr>
          <w:b/>
        </w:rPr>
        <w:t>E. 4.2</w:t>
      </w:r>
    </w:p>
    <w:p>
      <w:r>
        <w:t>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plus particulièrement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CREP 15 janvier 2013/12 ; CREP 20 octobre 2014/773).</w:t>
      </w:r>
    </w:p>
    <w:p>
      <w:r>
        <w:t>- 7 -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ATF 128 I 149 consid. 2.2.1 ; CREP 20 novembre 2015/754 consid. 3.1.2).</w:t>
      </w:r>
    </w:p>
    <w:p>
      <w:r>
        <w:rPr>
          <w:b/>
        </w:rPr>
        <w:t>E. 4.3</w:t>
      </w:r>
    </w:p>
    <w:p>
      <w:r>
        <w:t>En l'espèce, s’il est vrai que le recourant a collaboré activement à l’établissement des faits lors de ses auditions des 16 et 17 décembre 2016, il a néanmoins fallu entreprendre des investigations d’une certaine ampleur pour identifier les lésés ; vu le nombre de ceux-ci, ces recherches prennent un certain temps. Même si le rapport final de police, attendu pour le début du mois d’avril 2017, n’a pas encore été déposé, les enquêteurs n’ont pas été inactifs entre décembre 2016 et mars 2017 (PV des opérations, pp. 4-5). En tout cas, le temps nécessaire à l’établissement du rapport paraît raisonnable et il n’y a, de ce chef, aucun retard injustifié au sens de l’art. 5 al. 1 CPP. Enfin, aucun élément ne suggère que la procédure n’aurait pas été conduite en priorité (art. 5 al. 2 CPP) Mal fondé, le grief doit être rejeté.</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w:t>
      </w:r>
    </w:p>
    <w:p>
      <w:r>
        <w:t>- 8 - Le remboursement à l’Etat de l’indemnité allouée au défenseur d’office de O.________ ne sera toutefois exigible que pour autant que la situation économique de ce dernier se soit améliorée (art. 135 al. 4 CPP). Par ces motifs, la Chambre des recours pénale prononce : I. Le recours est rejeté. II. L’ordonnance du 14 mars 2017 est confirmée. III. L’indemnité allouée au défenseur d’office de O.________ est fixée à 583 fr. 20 (cinq cent huitante-trois francs et vingt centimes). IV. Les frais d’arrêt, par 770 fr. (sept cent septante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de O.________ se soit améliorée. VI. L’arrêt est exécutoire. Le président : Le greffier : Du Le présent arrêt, dont la rédaction a été approuvée à huis clos, est notifié, par l'envoi d'une copie complète, à : - Me Quentin Beausire, avocat (pour O.________), - Ministère public central,</w:t>
      </w:r>
    </w:p>
    <w:p>
      <w:r>
        <w:t>- 9 -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