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PE16.024796 vom 27. April 2017</w:t>
      </w:r>
    </w:p>
    <w:p>
      <w:r>
        <w:t>VD Tribunal cantonal, 2017-04-27, FR</w:t>
      </w:r>
    </w:p>
    <w:p>
      <w:r>
        <w:rPr>
          <w:b/>
        </w:rPr>
        <w:t xml:space="preserve">Quelle: </w:t>
      </w:r>
      <w:r>
        <w:t>https://mcp.opencaselaw.ch/entscheid/vd_gerichte_PE16.024796</w:t>
      </w:r>
    </w:p>
    <w:p>
      <w:r>
        <w:t>FR: VD_GERICHTE PE16.024796 du 27 avril 2017</w:t>
      </w:r>
    </w:p>
    <w:p>
      <w:r>
        <w:t>IT: VD_GERICHTE PE16.024796 del 27 aprile 2017</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art. 80 LOJV [loi d’organisation judiciaire ; RSV 173.01]). En l'espèce, interjeté en temps utile et dans les formes prescrites (art. 385 al. 1 CPP) auprès de l’autorité compétente, par le prévenu qui a qualité pour recourir dans la mesure où il conteste les frais mis à sa charge (art. 382 al. 1 CPP), le recours est recevable.</w:t>
      </w:r>
    </w:p>
    <w:p>
      <w:r>
        <w:rPr>
          <w:b/>
        </w:rPr>
        <w:t>E. 1.1</w:t>
      </w:r>
    </w:p>
    <w:p>
      <w:r>
        <w:t>; TF 6B_99/2011 du 13 septembre 2011 consid. 5.1.2 ; Chapuis, in: Kuhn/Jeanneret [éd.], op. cit., n. 2 ad art. 426 CPP). Le fait reproché doit constituer une violation claire de la norme de comportement (ATF 119 la 332 consid. 1b ; TF 6B_439/2013 précité consid. 1.1). L'acte répréhensible n'a pas à être commis intentionnellement. La négligence suffit, sans qu'il soit besoin qu'elle soit grossière (ATF 109 la 160 consid. 4a ;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w:t>
      </w:r>
    </w:p>
    <w:p>
      <w:r>
        <w:t>- 5 -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la 162 consid. 2c, JdT 1992 IV 52).</w:t>
      </w:r>
    </w:p>
    <w:p>
      <w:r>
        <w:rPr>
          <w:b/>
        </w:rPr>
        <w:t>E. 2</w:t>
      </w:r>
    </w:p>
    <w:p>
      <w:r>
        <w:t>CPP peut également trouver application lorsque la procédure fait l’objet d’une ordonnance de non-entrée en matière (question laissée ouverte in CREP 20 septembre 2016/620). Cette disposition ne mentionne certes pas expressément l'ordonnance de non-entrée en matière comme cas de figure permettant de mettre les frais de la procédure à la charge du prévenu. L'art. 310 al. 2 CPP prévoit toutefois que les dispositions sur le classement s'appliquent en cas de non-entrée en matière. Il s'ensuit que la même réglementation doit prévaloir pour une non-entrée en matière et un classement (cf. en ce sens ATF 139 IV 241 consid. 1 ; contra : Moreillon/Parein-Reymond, Petit commentaire, Code de procédure pénale, 2e éd., Bâle 2016, n. 23 ad art. 310 CPP). L’art. 426 al. 2 CPP peut donc également trouver application lorsqu’une ordonnance de non-entrée en matière est rendue par le Ministère public.</w:t>
      </w:r>
    </w:p>
    <w:p>
      <w:r>
        <w:rPr>
          <w:b/>
        </w:rPr>
        <w:t>E. 2.1</w:t>
      </w:r>
    </w:p>
    <w:p>
      <w:r>
        <w:t>Aux termes de l'art. 310 al. 1 CPP, une ordonnance de non- entrée en matière est rendue immédiatement – c’est-à-dire sans qu’une instruction soit ouverte (art. 309 al. 1 et 4 CPP ; TF 1B_111/2012 du 5 avril 2012 consid. 2.1) – par le ministère public lorsqu'il apparaît, à réception de la dénonciation (cf. art. 301 ss CPP) ou de la plainte (Cornu, in : Kuhn/Jeanneret [éd.], Commentaire romand, Code de procédure pénale suisse, Bâle 2011, n. 1 ad art. 310 CPP) ou après une procédure préliminaire limitée aux investigations de la police (art. 300 al. 1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w:t>
      </w:r>
    </w:p>
    <w:p>
      <w:r>
        <w:rPr>
          <w:b/>
        </w:rPr>
        <w:t>E. 2.2</w:t>
      </w:r>
    </w:p>
    <w:p>
      <w:r>
        <w:t>Aux termes de l’art. 426 al. 2 CPP, lorsque la procédure fait l'objet d'une ordonnance de classement ou que le prévenu est acquitté, tout ou partie des frais de procédure peuvent être mis à sa charge s'il a,</w:t>
      </w:r>
    </w:p>
    <w:p>
      <w:r>
        <w:t>- 4 -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la 332 consid. 1 b ; ATF 116 la 162, JdT 1992 IV 52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6B_439/2013 précité consid.</w:t>
      </w:r>
    </w:p>
    <w:p>
      <w:r>
        <w:rPr>
          <w:b/>
        </w:rPr>
        <w:t>E. 2.3</w:t>
      </w:r>
    </w:p>
    <w:p>
      <w:r>
        <w:t>En l’espèce, il convient tout d’abord d’examiner si l’art. 426 al.</w:t>
      </w:r>
    </w:p>
    <w:p>
      <w:r>
        <w:rPr>
          <w:b/>
        </w:rPr>
        <w:t>E. 2.4</w:t>
      </w:r>
    </w:p>
    <w:p>
      <w:r>
        <w:t>Il y a donc lieu de déterminer si le comportement du recourant était propre à justifier une imputation des frais. Le recourant s’est aspergé d’essence et a menacé de s’immoler par le feu avec un briquet dans un bureau du Centre EVAM alors qu’il était en présence de deux autres personnes. Quand bien même celles-ci ne se sont pas senties directement menacées, le recourant a créé</w:t>
      </w:r>
    </w:p>
    <w:p>
      <w:r>
        <w:t>- 6 - une situation potentiellement dangereuse, compromettant ainsi la sécurité des personnes se trouvant dans la même pièce que lui. Il a donc manifestement adopté un comportement illicite au sens de l’art. 41 CO. Ce comportement civilement répréhensible a nécessité la mobilisation de nombreux groupes d’intervention et a donné lieu à l’établissement d’un rapport ainsi qu’à l’audition du prévenu par la police (art. 300 al. 1 et 306 al. 2 CPP). Ainsi, les frais de l’enquête pouvaient être mis à la charge de R.________ sur la base de l’art. 426 al. 2 CPP.</w:t>
      </w:r>
    </w:p>
    <w:p>
      <w:r>
        <w:rPr>
          <w:b/>
        </w:rPr>
        <w:t>E. 3</w:t>
      </w:r>
    </w:p>
    <w:p>
      <w:r>
        <w:t>Il résulte de ce qui précède que le recours doit être rejeté et l’ordonnance attaquée confirmée. Les frais de la procédure de recours, constitués en l’espèce de l’émolument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21 février 2017 est confirmée. III. Les frais d’arrêt, par 660 fr. (six cent soixante francs), sont mis à la charge du recourant.</w:t>
      </w:r>
    </w:p>
    <w:p>
      <w:r>
        <w:t>- 7 - IV. L’arrêt est exécutoire. Le président : La greffière : Du Le présent arrêt, dont la rédaction a été approuvée à huis clos, est notifié, par l'envoi d'une copie complète, à : - M.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