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PE16.024695 vom 14. Dezember 2020</w:t>
      </w:r>
    </w:p>
    <w:p>
      <w:r>
        <w:t>VD Tribunal cantonal, 2020-12-14, FR</w:t>
      </w:r>
    </w:p>
    <w:p>
      <w:r>
        <w:rPr>
          <w:b/>
        </w:rPr>
        <w:t xml:space="preserve">Quelle: </w:t>
      </w:r>
      <w:r>
        <w:t>https://mcp.opencaselaw.ch/entscheid/vd_gerichte_PE16.024695</w:t>
      </w:r>
    </w:p>
    <w:p>
      <w:r>
        <w:t>FR: VD_GERICHTE PE16.024695 du 14 décembre 2020</w:t>
      </w:r>
    </w:p>
    <w:p>
      <w:r>
        <w:t>IT: VD_GERICHTE PE16.024695 del 14 dicembre 2020</w:t>
      </w:r>
    </w:p>
    <w:p>
      <w:pPr>
        <w:pStyle w:val="Heading2"/>
      </w:pPr>
      <w:r>
        <w:t>Erwägungen</w:t>
      </w:r>
    </w:p>
    <w:p>
      <w:r>
        <w:rPr>
          <w:b/>
        </w:rPr>
        <w:t>E. 11</w:t>
      </w:r>
    </w:p>
    <w:p>
      <w:r>
        <w:t>septembre 2016, le SSP avait été invité par Z.________ à stopper la procédure de délivrance d'autorisation concernant M.________ au motif que ce d[...] de la suspension de son autorisation de pratiquer comme médecin en Roumanie, suite à des irrégularités avec les caisses d'assurance- maladie. Dans ce même courrier, le Médecin cantonal a encore précisé qu'en date du 2 décembre 2016, M.________ avait déposé une nouvelle demande d'autorisation de pratiquer en qualité de médecin indépendant à [...] et que ce dernier n'était pas autorisé à pratiquer dans le canton de Vaud, le temps de procéder à des investigations. Dans le cadre de l'enquête policière avant ouverture d'instruction, le Ministère public a été informé de l'identité complète ainsi que des coordonnées d'Z.________, de même que de l'existence de deux courriers pertinents pour la présente cause, à savoir le courrier du 10 avril 2017 du Médecin cantonal à Me Christian Bettex, aux termes duquel il était invité à se déterminer sur les procédures judiciaires de M.________ en Roumanie, et la réponse de Me Christian Bettex du 12 avril 2017 (P.13,</w:t>
      </w:r>
    </w:p>
    <w:p>
      <w:r>
        <w:t>- 4 - 13/1, 13/2 annexes 7 et 8). Dans ce courrier (P.13/2 annexe 8, page 2), on peut lire au sujet des procédures judiciaires concernant M.________ en Roumanie, que les procédures nos 3, 4, 5, 10, 12, 13, 14, 22 à 26 concernent "diverses communications relatives à une procédure pénale ouverte au terme de l'année 2012 pour faux dans les titres et escroquerie à l'encontre de plusieurs prévenus, dont M.________". On apprend ainsi que M.________ a été mis en détention provisoire pour deux mois dans le cadre des procédures nos 22 à 26 et qu'il a été interdit provisoirement de quitter le territoire roumain et de pratiquer la médecine. Il est également fait mention que M.________ a contesté sa mise en accusation. B. Par ordonnance du 9 septembre 2020, le Ministère public a prononcé le classement de la procédure pénale dirigée contre Z.________ pour calomnie subsidiairement diffamation (I), lui a alloué une indemnité de 6'112 fr. pour les dépenses occasionnées par l'exercice raisonnable de ses droits de procédure (II), l'a renvoyé à faire valoir devant le juge civil ses éventuelles prétentions civiles (III) et a mis les frais de procédure, par 1'595 fr., à la charge de M.________ (IV). La procureure a en substance considéré que les infractions de diffamation subsidiairement de calomnie n’étaient pas réalisées, notamment au motif que les allégations dont M.________ soupçonnait Z.________ d'être l'auteur n'étaient pas contraires à la vérité. En effet, les autorités roumaines avaient bel et bien prononcé une interdiction de pratiquer la médecine à l'encontre de M.________ qui faisait l'objet d'une procédure pénale pour faux dans les titres et escroquerie dans ce pays. Ce faisant, la procureure a retenu qu'aucun comportement pénalement répréhensible ne pouvait être reproché à Z.________ et qu'il se justifiait ainsi de rendre une ordonnance de classement. Elle a au demeurant constaté que l'action pénale allait éminemment être prescrite, soit le 11 septembre 2020 (prescription de quatre ans, le dies a quo étant le 11 septembre 2016), date à laquelle Z.________ avait demandé au Médecin cantonal d'arrêter la procédure de délivrance d'autorisation en faveur du plaignant.</w:t>
      </w:r>
    </w:p>
    <w:p>
      <w:r>
        <w:t>- 5 - C. Par acte du 15 septembre 2020, M.________ a recouru auprès de la Cour de céans contre cette ordonnance en concluant, en substance, à son annulation. Il n'a pas été ordonné d'échange d'écritures. Les 16 et 23 décembre 2020, Z.________ a déposé des déterminations spontanées. En d roit : 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la partie plaignante qui a qualité pour recourir (art. 382 al. 1 CPP), et satisfaisant aux conditions de forme prescrites (art. 385 al. 1 CPP), le recours est recevable.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w:t>
      </w:r>
    </w:p>
    <w:p>
      <w:r>
        <w:t>- 6 -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6B_1064/2019 du</w:t>
      </w:r>
    </w:p>
    <w:p>
      <w:r>
        <w:rPr>
          <w:b/>
        </w:rPr>
        <w:t>E. 16</w:t>
      </w:r>
    </w:p>
    <w:p>
      <w:r>
        <w:t>janvier 2020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w:t>
      </w:r>
    </w:p>
    <w:p>
      <w:r>
        <w:t>- 7 - soupçons suffisants justifiant une mise en accusation (CREP 10 mai 2016/305 et les références citées). Conformément à l’art. 319 al. 1 let. d CPP, la procédure doit également être classée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ce qui est notamment le cas lorsque l’action pénale est prescrite (Moreillon/Parein-Reymond, Petit Commentaire du Code de procédure pénale, 2e éd., Bâle 2016, nn. 16 s. ad art. 319 CPP). 3. 3.1 Aux termes de l’art. 173 ch. 1 CP (Code pénal suisse du</w:t>
      </w:r>
    </w:p>
    <w:p>
      <w:r>
        <w:rPr>
          <w:b/>
        </w:rPr>
        <w:t>E. 21</w:t>
      </w:r>
    </w:p>
    <w:p>
      <w:r>
        <w:t>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w:t>
      </w:r>
    </w:p>
    <w:p>
      <w:r>
        <w:t>- 8 -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3.2 En vertu de l’art. 178 al. 1 CP, l’action pénale se prescrit par quatre ans pour les délits contre l’honneur, au lieu de sept ans pour les autres infractions punies d’une peine maximale inférieure à trois ans de privation de liberté (art. 97 al. 1 let. d CP). La raison de la réduction du délai usuel est que les atteintes à l’honneur disparaissent en général rapidement et ne laissent souvent pas de séquelles (Dupuis et al., [éd.], Petit Commentaire du Code pénal, 2e éd., Bâle 2017, n. 1 ad art. 178 CP et les références citées). Le délai de prescription court dès la commission de l’infraction (par exemple dès le dépôt de l’écrit diffamatoire à la poste ou chez son destinataire : ATF 97 IV 153 consid. 2, JdT 1973 IV 18), et non pas dès la connaissance de l’auteur, tel que cela est le cas pour le dépôt de la plainte (Dupuis et al., op. cit., n. 2 ad art. 178 CP et les références citées). 4. 4.1 Le recourant ne conteste pas, à juste titre, que la prescription des infractions contre l’honneur reprochées au prévenu soit acquise. Invoquant une « erreur judiciaire », il indique que la procédure pénale ouverte contre lui en Roumanie en 2012 aurait été classée pour manque de preuve et requiert ainsi la continuation de la poursuite pénale des auteurs des infractions de calomnie et diffamation à son encontre. 4.2 En l'espèce, il ressort du dossier de la cause qu'Z.________ a demandé, le 11 septembre 2016, au Médecin cantonal d'arrêter la procédure de délivrance d'une autorisation au recourant (P. 10, ch. 3). Il n'y a au dossier aucune pièce concernant l'entretien entre les parties qui s'est tenu une semaine après l'engagement du recourant par la société [...]. Toutefois, cet entretien a permis à M.________ de savoir qu'il ne pouvait pas exercer en Suisse en raison des problèmes qu'il rencontrait en</w:t>
      </w:r>
    </w:p>
    <w:p>
      <w:r>
        <w:t>- 9 - Roumanie. Même si on ignore avec certitude la date à laquelle le recourant a su qu'Z.________ avait avisé le Médecin cantonal de cette situation, il ressort du courrier que lui avait adressé le Dr [...] le 25 octobre 2016 (P. 5/12), que ces motifs lui étaient déjà connus à cette date. Quoi qu'il en soit, le recourant a déposé plainte le 12 décembre 2016 (P. 4), soit il y a plus de quatre ans. Si l'on retient, dans le cas le plus favorable au recourant, cette date, les infractions de calomnie et diffamation sont effectivement prescrites au sens de l'art. 178 CP. Dès lors, il n'y a pas lieu de réexaminer les motifs de fond du classement. 5. En définitive, le recours, manifestement mal fondé, doit être rejeté sans échange d’écritures (art. 390 al. 2 CPP) et l’ordonnance entreprise confirmée.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septembre 2020 est confirmée. III. Les frais d’arrêt, par 990 fr. (neuf cent nonante francs), sont mis à la charge de M.________</w:t>
      </w:r>
    </w:p>
    <w:p>
      <w:r>
        <w:t>- 10 - IV. L’arrêt est exécutoire. Le président : La greffière : Du Le présent arrêt, dont la rédaction a été approuvée à huis clos, est notifié, par l'envoi d'une copie complète, à : - M.________, - Ministère public central, et communiqué à : - Mme la Procureure de l'arrondissement du Nord vaudois, - Me Hüsnü Yilmaz, avocat (pour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