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PE16.024565 vom 4. Mai 2017</w:t>
      </w:r>
    </w:p>
    <w:p>
      <w:r>
        <w:t>VD Tribunal cantonal, 2017-05-04, FR</w:t>
      </w:r>
    </w:p>
    <w:p>
      <w:r>
        <w:rPr>
          <w:b/>
        </w:rPr>
        <w:t xml:space="preserve">Quelle: </w:t>
      </w:r>
      <w:r>
        <w:t>https://mcp.opencaselaw.ch/entscheid/vd_gerichte_PE16.024565</w:t>
      </w:r>
    </w:p>
    <w:p>
      <w:r>
        <w:t>FR: VD_GERICHTE PE16.024565 du 4 mai 2017</w:t>
      </w:r>
    </w:p>
    <w:p>
      <w:r>
        <w:t>IT: VD_GERICHTE PE16.024565 del 4 maggio 2017</w:t>
      </w:r>
    </w:p>
    <w:p>
      <w:pPr>
        <w:pStyle w:val="Heading2"/>
      </w:pPr>
      <w:r>
        <w:t>Erwägungen</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par 660 fr. (art. 20 al. 1 TFIP [tarif des frais de procédure et indemnités en matière pénale du 28 septembre 2010 ; RSV 312.03.1]) et des frais imputables à la défense d’office (art. 422 al. 1 et 2 let. a CPP), fixés sur la base de la liste des opérations produite à 265 fr. 80 fr., plus la TVA par 21 fr. 25, soit à 287 fr. 05 au total, seront mis à la charge de X.________,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13 avril 2017 est confirmée. III. L’indemnité allouée au défenseur d’office de X.________ est fixée à 287 fr. 05 (deux cent huitante-sept francs et cinq centimes). IV. Les frais d’arrêt, par 660 fr. (six cent soixante francs), ainsi que l’indemnité due au défenseur d’office de X.________, par</w:t>
      </w:r>
    </w:p>
    <w:p>
      <w:r>
        <w:t>- 7 - 287 fr. 05 (deux cent huitante-sept francs et cinq centimes), sont mis à la charge de ce dernier. V. Le remboursement à l'Etat de l'indemnité allouée au chiffre III ci-dessus ne sera exigible que pour autant que la situation économique de X.________ se soit améliorée. VI. L’arrêt est exécutoire. Le président : La greffière : Du Le présent arrêt, dont la rédaction a été approuvée à huis clos, est notifié, par l'envoi d'une copie complète, à : - Me Gilles Miauton, avocat (pour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- 8 -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