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PE16.024471 vom 17. März 2017</w:t>
      </w:r>
    </w:p>
    <w:p>
      <w:r>
        <w:t>VD Tribunal cantonal, 2017-03-17, FR</w:t>
      </w:r>
    </w:p>
    <w:p>
      <w:r>
        <w:rPr>
          <w:b/>
        </w:rPr>
        <w:t xml:space="preserve">Quelle: </w:t>
      </w:r>
      <w:r>
        <w:t>https://mcp.opencaselaw.ch/entscheid/vd_gerichte_PE16.024471</w:t>
      </w:r>
    </w:p>
    <w:p>
      <w:r>
        <w:t>FR: VD_GERICHTE PE16.024471 du 17 mars 2017</w:t>
      </w:r>
    </w:p>
    <w:p>
      <w:r>
        <w:t>IT: VD_GERICHTE PE16.024471 del 17 marzo 2017</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13 LVCPP [loi d’introduction du code de procédure pénale suisse du 19 mai 2009 ; RSV 312.01] et 80 LOJV [loi d'organisation judiciaire du 12 septembre 1979 ; RSV 173.01]). Le recours doit être envoyé par écrit, dans un délai de dix jours dès la notification de la décision attaquée (art. 322 al. 2 et 396 al. 1 CPP). Interjetés dans le délai légal par la plaignante qui a qualité pour recourir (art. 382 al. 1 CPP), le recours du 8 mars 2017 et le mémoire complémentaire du 10 mars 2017 sont recevables.</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 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 De manière générale, les motifs de classement sont ceux « qui déboucheraient à coup sûr ou du moins très probablement sur un acquittement ou une décision similaire de l'autorité de jugement »</w:t>
      </w:r>
    </w:p>
    <w:p>
      <w:r>
        <w:t>- 4 -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 ATF 138 IV 86 précité, consid. 4.1.2).</w:t>
      </w:r>
    </w:p>
    <w:p>
      <w:r>
        <w:rPr>
          <w:b/>
        </w:rPr>
        <w:t>E. 3.1</w:t>
      </w:r>
    </w:p>
    <w:p>
      <w:r>
        <w:t>La recourante fait valoir que la question qui se pose est celle de savoir si le fait de ne pas enlever la sonde dans un délai normal, soit dans un délai de six mois dans son cas, augmente le risque d'infection urinaire et constitue ainsi une faute du médecin. Elle considère que le Procureur aurait dû instruire plus avant sur cette question. Dans son mémoire complémentaire du 10 mars 2017, la recourante conteste en outre l'affirmation du Dr B.________ selon laquelle l'infection urinaire n'aurait pas laissé de séquelles et soutient qu'il s'imposerait de procéder à une expertise sur ce point.</w:t>
      </w:r>
    </w:p>
    <w:p>
      <w:r>
        <w:rPr>
          <w:b/>
        </w:rPr>
        <w:t>E. 3.2</w:t>
      </w:r>
    </w:p>
    <w:p>
      <w:r>
        <w:t>Aux termes de l'art. 125 al. 1 CP, celui qui, par négligence, aura fait subir à une personne une atteinte à l'intégrité corporelle ou à la santé sera, sur plainte, puni d'une peine privative de liberté de trois ans au plus ou d'une peine pécuniaire.</w:t>
      </w:r>
    </w:p>
    <w:p>
      <w:r>
        <w:t>- 5 - Cette infraction est réalisée lorsque trois éléments sont réunis : une négligence commise par l'auteur, une lésion corporelle subie par la victime et un lien de causalité naturelle et adéquate entre ces deux éléments (TF 6B_291/2015 du 18 janvier 2016 consid. 2.1). Les lésions corporelles par négligence constituent une infraction de résultat, qui suppose en général une action, mais qui peut aussi être réalisée par omission lorsque l'auteur avait un devoir juridique d'agir découlant d'une position de garant (art. 11 CP). En cas d'omission, la question de la causalité ne se présente toutefois pas de la même manière qu'en cas de commission (ATF 134 IV 255 consid. 4.4.1 ; ATF 117 IV 130 consid. 2a) : l'omission d'un acte est en relation de causalité avec le résultat de l'infraction présumée si l'accomplissement de cet acte aurait, selon le cours ordinaire des choses et l'expérience de la vie, évité la survenance de ce résultat avec une vraisemblance confinant à la certitude ou, du moins, avec une haute vraisemblance (ATF 116 IV 306, JdT 1991 I 724 consid. 2a ; Corboz, Les infractions en droit suisse, vol. I, 3e éd., Berne 2010, n. 51 ad art. 117 CP). La causalité adéquate est exclue lorsque l'acte attendu n'aurait vraisemblablement pas empêché la survenance du résultat ou qu'il est simplement possible qu'il l'eût empêché (ATF 116 IV 182 consid. 4a ; TF 6B_614/2014 du 1er décembre 2014 consid. 4.1).</w:t>
      </w:r>
    </w:p>
    <w:p>
      <w:r>
        <w:rPr>
          <w:b/>
        </w:rPr>
        <w:t>E. 3.3</w:t>
      </w:r>
    </w:p>
    <w:p>
      <w:r>
        <w:t>En l'espèce, il ressort du rapport du 13 janvier 2017 du Dr B.________ que l'infection dont a souffert la recourante était très probablement due à une colonisation bactérienne des sondes urétérales posées par le Dr A.________, qui avaient été enlevées 14 mois après leur pose, et qu'un tel incident est extrêmement fréquent, même dans des délais beaucoup plus courts. Force est ainsi de constater, à l'instar du Procureur, qu'il ne sera jamais possible d'établir si l'ablation des sondes incriminées après six mois – à supposer qu'un tel acte aurait été commandé par les règles de l'art – aurait, selon le cours ordinaire des choses et l'expérience de la vie, évité la survenance d'une infection urinaire avec une vraisemblance confinant à la certitude ou, du moins, avec une haute vraisemblance, comme l'exige la jurisprudence. C'est donc à bon droit que le Procureur a considéré que les éléments constitutifs d'une infraction n'étaient pas réunis (art. 319 al. 1 let. b CPP),</w:t>
      </w:r>
    </w:p>
    <w:p>
      <w:r>
        <w:t>- 6 - indépendamment d'ailleurs du point de savoir si l'infection a laissé ou non des séquelles.</w:t>
      </w:r>
    </w:p>
    <w:p>
      <w:r>
        <w:rPr>
          <w:b/>
        </w:rPr>
        <w:t>E. 4</w:t>
      </w:r>
    </w:p>
    <w:p>
      <w:r>
        <w:t>Il résulte de ce qui précède que le recours doit être rejeté et l'ordonnance entreprise confirmée. Les frais d'arrêt, par 660 fr. (art. 422 al. 1 CPP et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28 février 2017 est confirmée. III. Les frais d'arrêt, par 660 fr. (six cent soixante francs), sont mis à la charge de la recourante. IV. L’arrêt est exécutoire. Le vice-président : La greffière : Du Le présent arrêt, dont la rédaction a été approuvée à huis clos, est notifié, par l'envoi d'une copie complète, à : - Me Jean Lob, avocat (pour X.________), - Ministère public central, et communiqué à : - Ministère public central, Division affaires spéciales,</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