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PE16.024403 vom 22. Juni 2017</w:t>
      </w:r>
    </w:p>
    <w:p>
      <w:r>
        <w:t>VD Tribunal cantonal, 2017-06-22, FR</w:t>
      </w:r>
    </w:p>
    <w:p>
      <w:r>
        <w:rPr>
          <w:b/>
        </w:rPr>
        <w:t xml:space="preserve">Quelle: </w:t>
      </w:r>
      <w:r>
        <w:t>https://mcp.opencaselaw.ch/entscheid/vd_gerichte_PE16.024403</w:t>
      </w:r>
    </w:p>
    <w:p>
      <w:r>
        <w:t>FR: VD_GERICHTE PE16.024403 du 22 juin 2017</w:t>
      </w:r>
    </w:p>
    <w:p>
      <w:r>
        <w:t>IT: VD_GERICHTE PE16.024403 del 22 giugno 2017</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N.________ est recevable.</w:t>
      </w:r>
    </w:p>
    <w:p>
      <w:r>
        <w:t>- 5 -</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w:t>
      </w:r>
    </w:p>
    <w:p>
      <w:r>
        <w:rPr>
          <w:b/>
        </w:rPr>
        <w:t>E. 2.2</w:t>
      </w:r>
    </w:p>
    <w:p>
      <w:r>
        <w:t>En l’occurrence, le prévenu ne conteste pas, à juste titre, l’existence de soupçons suffisants. Il a du reste admis une grande partie des faits qui lui sont reprochés.</w:t>
      </w:r>
    </w:p>
    <w:p>
      <w:r>
        <w:rPr>
          <w:b/>
        </w:rPr>
        <w:t>E. 3.1</w:t>
      </w:r>
    </w:p>
    <w:p>
      <w:r>
        <w:t>N.________ conteste cependant l’existence d’un risque de réitération. Il invoque les conclusions des expertes, selon lesquelles ce risque serait faible. Il fait également valoir l’absence d’antécédents pour des faits de même nature ainsi que l’ancienneté des faits. Enfin, il explique bénéficier d’un suivi psychiatrique volontaire auprès du Service de médecine et psychiatrie pénitentiaires (SMPP).</w:t>
      </w:r>
    </w:p>
    <w:p>
      <w:r>
        <w:rPr>
          <w:b/>
        </w:rPr>
        <w:t>E. 3.2</w:t>
      </w:r>
    </w:p>
    <w:p>
      <w:r>
        <w:t>- 6 -</w:t>
      </w:r>
    </w:p>
    <w:p>
      <w:r>
        <w:rPr>
          <w:b/>
        </w:rPr>
        <w:t>E. 3.2.1</w:t>
      </w:r>
    </w:p>
    <w:p>
      <w:r>
        <w:t>L'art. 221 al. 1 let. c CPP pose trois conditions pour admettre un risque de récidive. En premier lieu, le prévenu doit en principe déjà avoir commis des infractions du même genre (pour une exception à cette exigence, cf. consid. 3.2.3 ci-après) et il doit s'agir de crimes ou de délits graves. Deuxièmement, la sécurité d'autrui doit être sérieusement compromise. Troisièmement, une réitération doit, sur la base d'un pronostic, être sérieusement à craindre (ATF 143 IV 9 consid. 2.5).</w:t>
      </w:r>
    </w:p>
    <w:p>
      <w:r>
        <w:rPr>
          <w:b/>
        </w:rPr>
        <w:t>E. 3.2.2</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et les réf.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et les réf. citées).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w:t>
      </w:r>
    </w:p>
    <w:p>
      <w:r>
        <w:t>- 7 -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à 2.10).</w:t>
      </w:r>
    </w:p>
    <w:p>
      <w:r>
        <w:rPr>
          <w:b/>
        </w:rPr>
        <w:t>E. 3.2.3</w:t>
      </w:r>
    </w:p>
    <w:p>
      <w:r>
        <w:t>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ATF 143 IV 9 consid. 2.3.1). Le risque de récidive peut également se fonder sur les infractions faisant l'objet de la procédure pénale en cours, si le prévenu est fortement soupçonné – avec une probabilité confinant à la certitude – de les avoir commises (ATF 137 IV 84 consid. 3.2 et les réf. citées, JdT 2011 IV 325 ; ATF 143 IV 9).</w:t>
      </w:r>
    </w:p>
    <w:p>
      <w:r>
        <w:rPr>
          <w:b/>
        </w:rPr>
        <w:t>E. 3.3</w:t>
      </w:r>
    </w:p>
    <w:p>
      <w:r>
        <w:t>En l’espèce, les arguments du recourant ne sont pas pertinents. Tout d’abord les conclusions des expertes sur lesquelles le recourant s’appuie pour minimiser le risque de récidive ne sont pas relevantes, leur rapport étant en l’état incomplet en raison du fait qu’elles n’avaient pas connaissance du visionnage, par le recourant, pendant presque trois ans, de fichiers de pornographie enfantine virtuelle. Les expertes n’ont ainsi pas pu se prononcer sur l’implication de tels actes sur la sexualité de l’intéressé. On rappellera encore que N.________ a indiqué que la pornographie enfantine l’excitait « un peu » (PV aud. d’arrestation du 10 décembre 2016 l. 93), et qu’il éprouvait des difficultés à contenir ses excitations sexuelles et à se représenter la vie émotionnelle d’un enfant. On peut ainsi sérieusement craindre un risque de récidive en présence d’enfants. Ainsi, force est de constater que le complément d’expertise ordonné par le Procureur est susceptible d’exercer un impact sur l’appréciation du risque de récidive par les expertes, de sorte qu’il se</w:t>
      </w:r>
    </w:p>
    <w:p>
      <w:r>
        <w:t>- 8 - justifie d’en attendre le dépôt. Enfin, s’il est vrai que le recourant n’a pas d’antécédents de même nature, il convient de faire prévaloir l'intérêt à la sécurité publique sur la liberté personnelle du prévenu dès lors qu’il s’en est gravement pris à l’intégrité sexuelle d’une mineure durant plusieurs années. . Partant, le risque de réitération est toujours réalisé et justifie le maintien du recourant en détention provisoire. Il n’y a pas lieu d’examiner si un risque de collusion ou de fuite – qui sont également contestés par le prévenu – doivent aussi être retenus, dès lors que les conditions posées à l’art. 221 al. 1 CPP sont alternatives et que la réalisation d’un seul risque suffit (TF 1B_242/2016 du 21 juillet 2016 consid. 5).</w:t>
      </w:r>
    </w:p>
    <w:p>
      <w:r>
        <w:rPr>
          <w:b/>
        </w:rPr>
        <w:t>E. 4</w:t>
      </w:r>
    </w:p>
    <w:p>
      <w:r>
        <w:t>Aucune mesure de substitution ne paraît à même de pouvoir pallier le risque retenu (cf. art. 237 CPP). Les garanties proposées par N.________, soit le dépôt de ses papiers d’identité et autres documents officiels ainsi qu’une interdiction de périmètre autour du lieu de résidence de la partie plaignante, s’avèrent insuffisantes en l’espèce, dès lors que le risque de réitération existe non seulement à l’égard des parties plaignantes, mais également vis-à-vis de n’importe quel enfant qui chercherait de la tendresse et se montrerait physiquement proche. Au demeurant, un simple suivi psychiatrique ne paraît pas offrir une assurance suffisante, à tout le moins tant que les expertes n’auront pas rendu leur rapport complémentaire.</w:t>
      </w:r>
    </w:p>
    <w:p>
      <w:r>
        <w:rPr>
          <w:b/>
        </w:rPr>
        <w:t>E. 5</w:t>
      </w:r>
    </w:p>
    <w:p>
      <w:r>
        <w:t>Le recourant est détenu depuis le 10 décembre 2016, soit environ sept mois. Compte tenu de la gravité des faits qui lui sont reprochés, la détention provisoire demeure proportionnée au regard de la peine qui est susceptible d’être prononcée à son encontre en cas de condamnation (art. 212 al. 3 CPP).</w:t>
      </w:r>
    </w:p>
    <w:p>
      <w:r>
        <w:rPr>
          <w:b/>
        </w:rPr>
        <w:t>E. 6</w:t>
      </w:r>
    </w:p>
    <w:p>
      <w:r>
        <w:t>Il résulte de ce qui précède que le recours, manifestement mal fondé, doit être rejeté sans autres échanges d’écritures (art. 390 al. 2 CPP).</w:t>
      </w:r>
    </w:p>
    <w:p>
      <w:r>
        <w:t>- 9 - Les frais de la procédure de recours, constitués en l’espèce de l’émolument d'arrêt, par 880 fr. (art. 20 al. 1 TFIP [tarif des frais judiciaires de procédure et indemnités en matière pénale du 28 septembre 2010; RSV 312.03.1]) et des frais imputables à la défense d’office (art. 422 al. 1 et 2 let. a CPP), fixés à 540 fr., plus la TVA par 43 fr. 20, soit à 583 fr. 20 au total, seront mis à la charge de N.________,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9 juin 2017 est confirmée. III. L’indemnité allouée au défenseur d’office du recourant est fixée à 583 fr. 20 (cinq cent huitante-trois francs et vingt centimes). IV. Les frais d’arrêt, par 880 fr. (hui cent huitante francs), ainsi que l’indemnité due au défenseur d’office de N.________, par 583 fr. 20 (cinq cent huitante-trois francs et vingt centimes), sont mis à la charge de ce dernier. V. Le remboursement à l'Etat de l'indemnité allouée au chiffre III ci-dessus ne sera exigible que pour autant que la situation économique de N.________ le permette. VI. L’arrêt est exécutoire. Le président : La greffière :</w:t>
      </w:r>
    </w:p>
    <w:p>
      <w:r>
        <w:t>- 10 - Du Le présent arrêt, dont la rédaction a été approuvée à huis clos, est notifié, par l'envoi d'une copie complète, à : - Me François Roux, avocat (pour N.________), - Ministère public central, et communiqué à : - M. le Procureure de l’arrondissement de l’Est vaudois, - Me Coralie Devaud, avocate (pour A.Q.________), - Prison de la Croisée, - Service de la population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