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PE16.024053 vom 13. September 2017</w:t>
      </w:r>
    </w:p>
    <w:p>
      <w:r>
        <w:t>VD Tribunal cantonal, 2017-09-13, FR</w:t>
      </w:r>
    </w:p>
    <w:p>
      <w:r>
        <w:rPr>
          <w:b/>
        </w:rPr>
        <w:t xml:space="preserve">Quelle: </w:t>
      </w:r>
      <w:r>
        <w:t>https://mcp.opencaselaw.ch/entscheid/vd_gerichte_PE16.024053</w:t>
      </w:r>
    </w:p>
    <w:p>
      <w:r>
        <w:t>FR: VD_GERICHTE PE16.024053 du 13 septembre 2017</w:t>
      </w:r>
    </w:p>
    <w:p>
      <w:r>
        <w:t>IT: VD_GERICHTE PE16.024053 del 13 settembre 2017</w:t>
      </w:r>
    </w:p>
    <w:p>
      <w:pPr>
        <w:pStyle w:val="Heading2"/>
      </w:pPr>
      <w:r>
        <w:t>Erwägungen</w:t>
      </w:r>
    </w:p>
    <w:p>
      <w:r>
        <w:rPr>
          <w:b/>
        </w:rPr>
        <w:t>E. 6</w:t>
      </w:r>
    </w:p>
    <w:p>
      <w:r>
        <w:t>et 10), que, s’agissant des menaces (cf. ch. 7), les faits n’étaient pas suffisamment caractérisés, et que, s’agissant des atteintes à l’honneur et de la création de faux documents (cf. chiffres 9 et 10), le plaignant n’avait pas fait état d’éléments concrets permettant d’entrer en matière. Enfin, s’agissant des insultes par messagerie, la Procureure a considéré que le plaignant avait lui-même provoqué la réaction de D.________, et qu’en</w:t>
      </w:r>
    </w:p>
    <w:p>
      <w:r>
        <w:t>- 3 - conséquence, les injures ne pouvaient être retenues à la charge de l’intéressée en application de l’art. 177 al. 2 CP. C. Par acte du 10 juillet 2017, F.________ a recouru auprès de la Chambre des recours pénale contre cette ordonnance, en concluant, avec dépens, à son annulation, le dossier étant renvoyé au Ministère public pour poursuite de l’instruction et nouvelle décision. En d roit : 1. 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RSV 312.01]; art. 80 LOJV [loi d’organisation judiciaire; RSV 173.01]). En l'espèce, interjeté en temps utile et dans les formes prescrites (art. 385 al. 1 CPP) auprès de l’autorité compétente, par la partie plaignante qui a qualité pour recourir (art. 382 al. 1 CPP), le recours de F.________ est recevable. 2. 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w:t>
      </w:r>
    </w:p>
    <w:p>
      <w:r>
        <w:t>- 4 - à l'adage in dubio pro duriore (TF 6B_127/2013 du 3 septembre 2013 consid. 4.1). Celui-ci découle du principe de la légalité (art. 5 al. 1 Cst. [Constitution fédérale de la Confédération suisse du 18 avril 1999; RS 101]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 2.2 Le recourant ne remet en cause l’ordonnance attaquée que s’agissant des injures proférées par D.________. A cet égard, il soutient que les conditions d’application de l’art. 177 al. 2 CP ne seraient pas remplies, faute d’immédiateté. Il ne soulève aucun autre grief. 2.3 Se rend coupable d’injure celui qui aura, par la parole, l’écriture, l’image, le geste ou par des voies de fait, attaqué autrui dans son honneur (art. 177 al. 1 CP). Comme dans le cas de la diffamation et de la calomnie, l'injure suppose une atteinte à l'honneur protégé par le droit pénal ; ainsi, l'art. 177 CP réprime tout acte qui, d'une autre manière que la diffamation et la calomnie, aura porté atteinte à l'honneur d'un tiers (Dupuis et al. [éd.], Petit commentaire, Code pénal, Bâle 2012, nn. 7 et 9 ad art. 177 CP). L’art. 177 al. 2 CP s’applique lorsque l’injure constitue une réaction immédiate à un comportement répréhensible, qui a provoqué chez l’auteur un sentiment de révolte. C’est le cas notamment lorsque l’auteur réagit sous l’emprise de l’émotion causée par le comportement</w:t>
      </w:r>
    </w:p>
    <w:p>
      <w:r>
        <w:t>- 5 - blâmable de la personne insultée (Dupuis et al. [éd.], op. cit., n. 25 ad art. 177 CP, et les références citées ; ATF 117 IV 270 consid. 2c). 2.4 En l’espèce, force est de constater avec la Procureure que les injures proférées par D.________ répondent au comportement blâmable de F.________. Il ressort en effet des messages échangés par les intéressés (cf. pièce à conviction 15817/17) que ceux-ci constituent des dialogues grossiers, où les insultes fusent et paraissent bien être systématiquement envoyées en réponse à d’autres. Sur le vu de ce qui précède, la non- entrée en matière est pleinement justifiée. 3. Le recours doit donc être rejeté et l’ordonnance du 26 juin 2017 confirmée.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26 juin 2017 est confirmée. III. Les frais de l’arrêt, par 550 fr. (cinq cent cinquante francs), sont mis à la charge du recourant. IV. L’arrêt est exécutoire.</w:t>
      </w:r>
    </w:p>
    <w:p>
      <w:r>
        <w:t>- 6 - Le président : Le greffier : Du Le présent arrêt, dont la rédaction a été approuvée à huis clos, est notifié, par l'envoi d'une copie complète, à : - Me Paul-Arthur Treyvaud (pour F.________), - Ministère public central, et communiqué à : - Mme la Procureure de l’arrondissement du Nord vaudois, - Mme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