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PE16.023947 vom 4. Januar 2018</w:t>
      </w:r>
    </w:p>
    <w:p>
      <w:r>
        <w:t>VD Tribunal cantonal, 2018-01-04, FR</w:t>
      </w:r>
    </w:p>
    <w:p>
      <w:r>
        <w:rPr>
          <w:b/>
        </w:rPr>
        <w:t xml:space="preserve">Quelle: </w:t>
      </w:r>
      <w:r>
        <w:t>https://mcp.opencaselaw.ch/entscheid/vd_gerichte_PE16.023947</w:t>
      </w:r>
    </w:p>
    <w:p>
      <w:r>
        <w:t>FR: VD_GERICHTE PE16.023947 du 4 janvier 2018</w:t>
      </w:r>
    </w:p>
    <w:p>
      <w:r>
        <w:t>IT: VD_GERICHTE PE16.023947 del 4 gennaio 2018</w:t>
      </w:r>
    </w:p>
    <w:p>
      <w:pPr>
        <w:pStyle w:val="Heading2"/>
      </w:pPr>
      <w:r>
        <w:t>Erwägungen</w:t>
      </w:r>
    </w:p>
    <w:p>
      <w:r>
        <w:rPr>
          <w:b/>
        </w:rPr>
        <w:t>E. 2</w:t>
      </w:r>
    </w:p>
    <w:p>
      <w:r>
        <w:t>Aux termes de l'art. 310 al. 1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3.1</w:t>
      </w:r>
    </w:p>
    <w:p>
      <w:r>
        <w:t>La recourante conteste d’abord que sa plainte soit tardive au regard de l’art. 31 CP. Si elle admet que sa première tentative d’inscription à l’Université s’est soldée par un refus le 10 février 2016, elle soutient que le refus de l’Université de Neuchâtel ne permettait pas à lui seul de considérer la publicité de X.________ comme trompeuse et qu’elle ne pouvait pas avoir l’assurance d’être refusée partout avant d’avoir à tout le moins tenté sa chance auprès d’une deuxième institution académique. Or, sa plainte pénale a été déposée le 1er décembre 2016, soit moins de trois mois après le refus de l’Université de Fribourg du 8 septembre 2016. Selon la recourante, on pourrait d’ailleurs soutenir que tant qu’elle n’a pas pu vérifier qu’effectivement elle ne pouvait entrer dans aucune université suisse, le délai de plainte n’a pas commencé à courir.</w:t>
      </w:r>
    </w:p>
    <w:p>
      <w:r>
        <w:t>- 5 -</w:t>
      </w:r>
    </w:p>
    <w:p>
      <w:r>
        <w:rPr>
          <w:b/>
        </w:rPr>
        <w:t>E. 3.2</w:t>
      </w:r>
    </w:p>
    <w:p>
      <w:r>
        <w:t>Le droit de porter plainte se prescrit par trois mois, étant précisé que le délai court du jour où l'ayant droit a connu l'auteur de l'infraction (art. 31 CP). Le point de départ du délai est la connaissance de l'auteur et bien entendu également de l'infraction, ce qui, selon la jurisprudence, implique de savoir de manière sûre et fiable que ses éléments constitutifs objectifs et subjectifs sont donnés (TF 6B_1113/2014 du 28 octobre 2015 ; TF 6B_145/2010 du 11 mai 2010 consid. 1.3 ; ATF 132 IV 49 consid. 3.2 in initio ; ATF 126 IV 131 consid. 2a p. 132).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alii, Petit Commentaire du Code pénal, 2e éd. 2017, n. 4 ad art. 31 CP). Ce délai impératif de trois mois concerne uniquement les infractions poursuivies sur plainte. Le délai institué par l'art. 31 CP étant un délai de péremption, il ne peut être ni interrompu, ni prolongé (ATF 118 IV 325 consid. 2b).</w:t>
      </w:r>
    </w:p>
    <w:p>
      <w:r>
        <w:rPr>
          <w:b/>
        </w:rPr>
        <w:t>E. 3.3</w:t>
      </w:r>
    </w:p>
    <w:p>
      <w:r>
        <w:t>En l’espèce, il apparaît qu’au vu du motif du refus de l’Université de Neuchâtel du 10 février 2016 (cf. consid. 4.2 infra), la recourante n’a pas eu à ce moment-là les éléments lui permettant de savoir de manière sûre et fiable que les éléments constitutifs objectifs et subjectifs de l’infraction réprimée par l’art. 23 LCD étaient réalisés, de sorte que l’on ne saurait affirmer que la plainte pénale qu’elle a déposée dans les trois mois après le refus de l’Université de Fribourg du 8 septembre 2016 était manifestement tardive.</w:t>
      </w:r>
    </w:p>
    <w:p>
      <w:r>
        <w:rPr>
          <w:b/>
        </w:rPr>
        <w:t>E. 4.1</w:t>
      </w:r>
    </w:p>
    <w:p>
      <w:r>
        <w:t>La recourante conteste aussi la motivation subsidiaire de l’ordonnance entreprise selon laquelle les éléments constitutifs de la concurrence déloyale ne sont manifestement pas réalisés.</w:t>
      </w:r>
    </w:p>
    <w:p>
      <w:r>
        <w:t>- 6 -</w:t>
      </w:r>
    </w:p>
    <w:p>
      <w:r>
        <w:rPr>
          <w:b/>
        </w:rPr>
        <w:t>E. 4.2</w:t>
      </w:r>
    </w:p>
    <w:p>
      <w:r>
        <w:t>Le refus de l’Université de Neuchâtel du 10 février 2016 était motivé par le fait que « le contenu du cursus que vous avez suivi jusqu’à ce jour ne satisfait pas aux exigences requises par la filière choisie. Nous ne pouvons pas, dès lors, vous admettre dans le programme de Master of Science en développement international des affaires » (P. 13/7). Le refus de l’Université de Fribourg du 8 septembre 2016 était motivé par le fait que « pour être admissible au niveau master, un candidat doit être quant à lui titulaire d’un bachelor délivré par une université suisse ou un titre jugé équivalent » et que « les candidats et les candidates peuvent être admis sur la base d’un diplôme académique universitaire reconnu de trois ans minimum, délivré par une université reconnue par l’Université de Fribourg », étant précisé que « l’ensemble des prestations doit avoir été accompli auprès d’une université reconnue ». Or la X.________ n’était pas reconnue et les 120 ECTS obtenus par la recourante dans cette école n’étaient pas reconnus par l’Université de Fribourg. Même si ces 120 ECTS lui avaient permis d’être admise directement en troisième année du Bachelor of Arts in Business à la Dublin Business School, laquelle était reconnue, elle n’avait pas accompli l’ensemble des prestations, mais seulement la troisième année, auprès d’une université reconnue (P. 13/8).</w:t>
      </w:r>
    </w:p>
    <w:p>
      <w:r>
        <w:rPr>
          <w:b/>
        </w:rPr>
        <w:t>E. 4.3</w:t>
      </w:r>
    </w:p>
    <w:p>
      <w:r>
        <w:t>Dans ces conditions, il apparaît que le cursus « double Bachelor et degree option (3 years) » de la X.________ ne permet pas d’être admis au niveau master de l’Université de Fribourg. L’affirmation marketing de la X.________ selon laquelle l’accréditation étatique de la Dublin Business School permet aux étudiants de poursuivre leurs études au degré du master auprès de toute université publique ou privée (P. 13/4) paraît ainsi, à première vue, tomber sous le coup de l'art. 3 al. 1 let. b LCD, aux termes duquel « agit de façon déloyale celui qui (…)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 et dont la violation intentionnelle est réprimée pénalement par l’art. 23 LCD.</w:t>
      </w:r>
    </w:p>
    <w:p>
      <w:r>
        <w:t>- 7 - C’est donc à tort que la procureure a rendu une ordonnance de non-entrée en matière et le dossier de la cause doit lui être renvoyé pour qu’elle ouvre une instruction pénale.</w:t>
      </w:r>
    </w:p>
    <w:p>
      <w:r>
        <w:rPr>
          <w:b/>
        </w:rPr>
        <w:t>E. 5</w:t>
      </w:r>
    </w:p>
    <w:p>
      <w:r>
        <w:t>Il résulte de ce qui précède que le recours doit être admis, l’ordonnance du 23 novembre 2017 annulée et le dossier de la cause renvoyé au Ministère public de l’arrondissement de Lausanne pour qu’il procède dans le sens des considérants. Les frais de la procédure de recours, constitués en l'espèce du seul émolument d'arrêt, par 770 fr. (art. 422 al. 1 CPP et 20 al. 1 TFIP [Tarif des frais de procédure et indemnités en matière pénale du 28 septembre 2010 ; RSV 312.03.1]), seront laissés à la charge de l’Etat (art. 428 al. 4 CPP). La recourante, qui a procédé avec l’assistance d’un avocat de choix et qui a obtenu gain de cause, a droit à une indemnité pour les dépenses occasionnées par la procédure de recours (art. 436 al. 3 CPP). Au vu du mémoire produit, cette indemnité sera fixée à 600 fr. (2 heures à 300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48 fr., soit à 648 fr. au total. Elle sera laissée à la charge de l’Etat.</w:t>
      </w:r>
    </w:p>
    <w:p>
      <w:r>
        <w:t>- 8 - Par ces motifs, la Chambre des recours pénale prononce : I. Le recours est admis. II. L’ordonnance du 23 novembre 2017 est annulée. III. Le dossier de la cause est renvoyé au Ministère public de l’arrondissement de Lausanne pour qu’il procède dans le sens des considérants. IV. Une indemnité de 648 fr. (six cent quarante-huit francs) est allouée à R.________ pour la procédure de recours, à la charge de l’Etat. V. Les frais d’arrêt, par 770 fr. (sept cent septante francs), sont laissés à la charge de l’Etat. VI. L’arrêt est exécutoire. Le président : La greffière : Du Le présent arrêt, dont la rédaction a été approuvée à huis clos, est notifié, par l'envoi d'une copie complète, à : - Me Robert Fox, avocat (pour R.________), - [...], - Ministère public central, et communiqué à :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