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PE16.022561 vom 29. März 2018</w:t>
      </w:r>
    </w:p>
    <w:p>
      <w:r>
        <w:t>VD Tribunal cantonal, 2018-03-29, FR</w:t>
      </w:r>
    </w:p>
    <w:p>
      <w:r>
        <w:rPr>
          <w:b/>
        </w:rPr>
        <w:t xml:space="preserve">Quelle: </w:t>
      </w:r>
      <w:r>
        <w:t>https://mcp.opencaselaw.ch/entscheid/vd_gerichte_PE16.022561</w:t>
      </w:r>
    </w:p>
    <w:p>
      <w:r>
        <w:t>FR: VD_GERICHTE PE16.022561 du 29 mars 2018</w:t>
      </w:r>
    </w:p>
    <w:p>
      <w:r>
        <w:t>IT: VD_GERICHTE PE16.022561 del 29 marzo 2018</w:t>
      </w:r>
    </w:p>
    <w:p>
      <w:pPr>
        <w:pStyle w:val="Heading2"/>
      </w:pPr>
      <w:r>
        <w:t>Erwägungen</w:t>
      </w:r>
    </w:p>
    <w:p>
      <w:r>
        <w:rPr>
          <w:b/>
        </w:rPr>
        <w:t>E. 23</w:t>
      </w:r>
    </w:p>
    <w:p>
      <w:r>
        <w:t>octobre 2016 et 15 janvier 2017, et, d'autre part, aurait accordé une</w:t>
      </w:r>
    </w:p>
    <w:p>
      <w:r>
        <w:t>- 5 - trop grande force probante au certificat médical du Dr H.________, qui serait contredit par les déclarations de la plaignante. 3.2 3.2.1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consid. 5.1.2 ; Chapuis, Commentaire romand, Code de procédure pénale suisse, Bâle 2011, n. 2 ad art. 426 CPP) – et a provoqué ainsi l'ouverture d'une enquête pénale ou compliqué celle-ci (TF 6B_87/2012 du 27 avril 2012 consid. 1.2 ; ATF 116 Ia 162 consid. 2d et 2e). Seul un comportement fautif et contraire à une règle juridique, qui soit en relation de causalité avec les frais imputés, entre en ligne de compte (TF 6B_387/2009 du 20 octobre 2009 consid. 1.1 ; TF 6B_215/2009 du 23 juin 2009 consid. 2.2 ; ATF 119 Ia 332 consid. 1b ;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w:t>
      </w:r>
    </w:p>
    <w:p>
      <w:r>
        <w:t>- 6 - juge doit fonder sa décision sur des faits incontestés ou déjà clairement établis (ATF 112 Ia 371 consid. 2a ; TF 6B_87/2012 précité consid. 1.2). Sur la base de ces principes généraux, la jurisprudence admet que la condamnation d'un prévenu acquitté à supporter tout ou partie des frais peut se fonder sur une violation de l'art. 28 al. 1 CC, qui prohibe toute atteinte illicite à la personnalité (TF 1B_21/2012 du 27 mars 2012 consid. 2.4). 3.2.2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Kommentar zur Schweizerischen Strafprozessordnung, 2e éd., 2014, n. 2 et 4 ad art. 430 CPP ; Mizel/Rétornaz, Commentaire romand, Code de procédure pénale suisse, Bâle 2011, n. 5 ad art. 430 CPP ; TF 6B_203/2015 du 16 mars 2016 consid. 1.2 ; TF 6B_77/2013 du 4 mars 2013). 3.3 En l'espèce, s'agissant de l'altercation du 23 octobre 2016, il est vrai que le rapport de police indique que les agents n'ont pas constaté de traces de coups échangés au sein du couple et que la plaignante a varié dans ses déclarations, puisqu'elle a indiqué le 23 octobre 2016 au Dr H.________ que son époux l'avait étranglée d'une main autour du cou, puis, au cours de l'audition de confrontation du 16 mars 2017, qu'elle ne pensait pas qu'il l'avait étranglée ce jour-là. Il en va de même pour</w:t>
      </w:r>
    </w:p>
    <w:p>
      <w:r>
        <w:t>- 7 - l'épisode du 15 janvier 2017, puisqu'elle a tout d'abord indiqué dans sa plainte du 2 mars 2017 que la lame du couteau l'avait blessée lorsqu'elle avait reculé, puis, au cours de l'audition de confrontation du 16 mars 2017, qu'elle avait fermé les yeux et en avait déduit qu'elle avait été blessée par le couteau. Les constatations faites par le Dr H.________ (traces au niveau du cou et du bras et douleur thoracique) paraissent néanmoins compatibles tant avec les violences physiques décrites par la plaignante au médecin qu'avec la déclaration du prévenu qui admet qu'il a poussé son épouse avec ses deux mains au niveau de la poitrine. Même si tous les éléments constitutifs d'une infraction pénale ne semblent pas être réalisés dans le cas d'espèce et que la procédure est classée en application de l'art. 55a CP, il n'en ressort pas moins clairement de l'ensemble du dossier que la plaignante a peur de son époux, que celui- ci peut être violent à son égard (ayant admis qu'il l'avait été au moins une fois) et qu'il exerce – quoi qu'il en dise – une emprise psychologique sur elle (cf. notamment plaintes des 24 octobre 2016 et 2 mars 2017 et messages d'appel à l'aide par SMS du 15 janvier 2017, P. 14/2 et 14/3), ce qui constitue une atteinte illicite à la personnalité au sens de l'art. 28 CC. Dès lors que ce comportement civilement répréhensible était propre à déclencher l'intervention des autorités répressives et l'ouverture d'une procédure pénale, le recourant doit en supporter les conséquences, à savoir s'acquitter des frais qui en ont découlé. Sur cette base, il n'a donc droit à aucune indemnité fondée sur l'art. 429 al. 1 let. a CPP. 4. Il résulte de ce qui précède que le recours, manifestement mal fondé, doit être rejeté sans autre échange d’écritures (art. 390 al. 2 CPP) et l’ordonnance entreprise confirmée. Les frais de la procédure de recours, par 770 fr. (art. 20 al. 1 TFIP [tarif des frais de procédure et indemnités en matière pénale du</w:t>
      </w:r>
    </w:p>
    <w:p>
      <w:r>
        <w:rPr>
          <w:b/>
        </w:rPr>
        <w:t>E. 28</w:t>
      </w:r>
    </w:p>
    <w:p>
      <w:r>
        <w:t>septembre 2010 ; RSV 312.03.1]), seront mis à la charge du recourant, qui succombe (art. 428 al. 1 CPP).</w:t>
      </w:r>
    </w:p>
    <w:p>
      <w:r>
        <w:t>- 8 - Par ces motifs, la Chambre des recours pénale prononce : I. Le recours est rejeté. II. L'ordonnance de classement du 22 novembre 2017 est confirmée. III. Les frais de la procédure de recours, par 770 fr. (sept cent septante francs), sont mis à la charge de X.________. IV. L’arrêt est exécutoire. Le président : La greffière : Du Le présent arrêt, dont la rédaction a été approuvée à huis clos, est notifié, par l'envoi d'une copie complète, à : - Me Alain Vuithier, avocat (pour X.________), - Me Roxane Mingard, avocate (pour Z.________), - Ministère public central, et communiqué à : - M. le Procureur de l'arrondissement de Lausanne,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