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PE16.022475 vom 2. August 2017</w:t>
      </w:r>
    </w:p>
    <w:p>
      <w:r>
        <w:t>VD Tribunal cantonal, 2017-08-02, FR</w:t>
      </w:r>
    </w:p>
    <w:p>
      <w:r>
        <w:rPr>
          <w:b/>
        </w:rPr>
        <w:t xml:space="preserve">Quelle: </w:t>
      </w:r>
      <w:r>
        <w:t>https://mcp.opencaselaw.ch/entscheid/vd_gerichte_PE16.022475</w:t>
      </w:r>
    </w:p>
    <w:p>
      <w:r>
        <w:t>FR: VD_GERICHTE PE16.022475 du 2 août 2017</w:t>
      </w:r>
    </w:p>
    <w:p>
      <w:r>
        <w:t>IT: VD_GERICHTE PE16.022475 del 2 agosto 2017</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et l'interdiction d'entretenir des relations avec certaines personnes (let. g). Ces mesures sont l'émanation directe du principe de la proportionnalité, consacré par l'art. 197 al. 1 let. c CPP, en vertu duquel le maintien en détention pour les besoins de l'instruction représente l'ultima ratio. Selon l'art. 237 al. 4 CPP, les dispositions sur la détention provisoire et la détention pour des motifs de sûreté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w:t>
      </w:r>
    </w:p>
    <w:p>
      <w:r>
        <w:t>- 10 - provisoire, soit en présence de soupçons suffisants ainsi que de risques de fuite, de collusion ou de réitération (art. 221 CPP), conditions qui doivent en elles-mêmes faire l'objet d'une réévaluation périodique (ATF 141 IV 190 consid. 3.3). A l'instar de la détention provisoire ou pour des motifs de sûreté, les mesures de substitution doivent par ailleurs en tout temps demeurer proportionnées au but poursuivi, tant par leur nature que par leur durée (ATF 141 IV 190 consid. 3.3 et la jurisprudence citée). L'ensemble des raisons qui ont conduit à l'instauration d'un contrôle périodique de la détention provisoire doit dès lors aussi s'appliquer, en principe, à l'égard des mesures de substitution, y compris celles qui ne sont pas expressément mentionnées à l'art. 237 al. 2 CPP. Il peut être fait exception pour les mesures les plus légères qui consistent dans l'accomplissement d'un acte ponctuel. Ainsi, le versement de sûretés fait l'objet de dispositions spécifiques: l'art. 239 CPP précise les circonstances, les conditions et les modalités de la libération des sûretés, le législateur étant parti du principe que celles-ci doivent être maintenues jusqu'à l'issue de la procédure (cf. art. 239 al. 3 CPP). Un engagement solennel de se présenter aux actes de procédure n'a pas non plus à être confirmé ou renouvelé périodiquement. Il en va de même du dépôt des papiers d'identité, qui permet au prévenu de conserver l'essentiel de sa liberté de mouvement. Pour ce type de mesures de substitution, la possibilité de demander en tout temps une levée constitue une garantie de procédure suffisante. En revanche, les autres mesures prévues à l'art. 237 al. 2 let. c à g CPP doivent être prononcées pour une durée déterminée. (ATF 141 IV 190 consid. 3.3).</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Selon l’art. 228 CPP, le prévenu peut présenter en tout temps, par écrit ou oralement pour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2e phrase).</w:t>
      </w:r>
    </w:p>
    <w:p>
      <w:r>
        <w:rPr>
          <w:b/>
        </w:rPr>
        <w:t>E. 2.2</w:t>
      </w:r>
    </w:p>
    <w:p>
      <w:r>
        <w:t>- 6 -</w:t>
      </w:r>
    </w:p>
    <w:p>
      <w:r>
        <w:rPr>
          <w:b/>
        </w:rPr>
        <w:t>E. 2.2.1</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pp. 1024 ss).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TF 1B_408/2015 du 10 décembre 2015 consid. 2.2; TF 1B_348/2013 du 21 octobre 2013 consid. 2.1.1; Schmocker, op. cit., n. 8 ad art. 221 CPP).</w:t>
      </w:r>
    </w:p>
    <w:p>
      <w:r>
        <w:rPr>
          <w:b/>
        </w:rPr>
        <w:t>E. 2.2.2</w:t>
      </w:r>
    </w:p>
    <w:p>
      <w:r>
        <w:t>Dans son mémoire de recours, le recourant ne conteste pas l’existence d’indices suffisants de culpabilité. A ce stade de l’enquête, les déclarations de la victime, tout comme celles de la voisine à qui l’enfant s’est confiée après les faits, fournissent au demeurant des indices de culpabilité suffisants à l’égard de Q.________. Pour le surplus, des traces de l’ADN du prévenu ont été retrouvées sur l’avant du pull que portait la victime le jour des faits, au niveau de la poitrine (P. 53, p. 10 et P. 58, p. 2). Il existe donc manifestement des soupçons suffisants à l’encontre du prévenu au sens de l’art. 221 al. 1 CPP.</w:t>
      </w:r>
    </w:p>
    <w:p>
      <w:r>
        <w:rPr>
          <w:b/>
        </w:rPr>
        <w:t>E. 2.3</w:t>
      </w:r>
    </w:p>
    <w:p>
      <w:r>
        <w:t>L’ordonnance attaquée se fonde sur le risque de réitération pour considérer que le maintien en détention se justifie, ce que le recourant conteste.</w:t>
      </w:r>
    </w:p>
    <w:p>
      <w:r>
        <w:rPr>
          <w:b/>
        </w:rPr>
        <w:t>E. 2.3.1</w:t>
      </w:r>
    </w:p>
    <w:p>
      <w:r>
        <w:t>L'art. 221 al. 1 let. c CPP pose trois conditions pour admettre un risque de récidive. En premier lieu, le prévenu doit en principe déjà avoir commis des infractions du même genre (pour une exception à cette exigence, cf. consid. 2.3.1.2, ci-après) et il doit s'agir de crimes ou de délits graves. Deuxièmement, la sécurité d'autrui doit être sérieusement</w:t>
      </w:r>
    </w:p>
    <w:p>
      <w:r>
        <w:t>- 7 - compromise. Troisièmement, une réitération doit, sur la base d'un pronostic, être sérieusement à craindre (ATF 143 IV 9 consid. 2.5).</w:t>
      </w:r>
    </w:p>
    <w:p>
      <w:r>
        <w:rPr>
          <w:b/>
        </w:rPr>
        <w:t>E. 2.3.1.1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w:t>
      </w:r>
    </w:p>
    <w:p>
      <w:r>
        <w:t>- 8 - également suffisant – pour admettre l'existence d'un tel risque (ATF 143 IV 9 consid. 2.9).</w:t>
      </w:r>
    </w:p>
    <w:p>
      <w:r>
        <w:rPr>
          <w:b/>
        </w:rPr>
        <w:t>E. 2.3.1.2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ATF 143 IV 9 consid. 2.3.1).</w:t>
      </w:r>
    </w:p>
    <w:p>
      <w:r>
        <w:rPr>
          <w:b/>
        </w:rPr>
        <w:t>E. 2.3.2</w:t>
      </w:r>
    </w:p>
    <w:p>
      <w:r>
        <w:t>En l’occurrence, les faits reprochés à Q.________ sont graves, ce d’autant que la victime est une enfant mineure. Certes, comme le relève le recourant, ses casiers judiciaires en Suisse et au Portugal, pays dont il est ressortissant, sont vierges de toute condamnation pour infraction contre l’intégrité sexuelle et, de fait, il ne se trouve pas dans un cas de récidive spéciale stricto sensu. Il n’en demeure pas moins que, vu la nature des actes qui lui sont reprochés aujourd’hui et les conclusions de l’expertise psychiatrique – qui met en exergue un risque faible à modéré de réitération d’infractions de même type que celles qui font l’objet de la présente procédure – ce risque existe néanmoins et doit être retenu.</w:t>
      </w:r>
    </w:p>
    <w:p>
      <w:r>
        <w:rPr>
          <w:b/>
        </w:rPr>
        <w:t>E. 2.4</w:t>
      </w:r>
    </w:p>
    <w:p>
      <w:r>
        <w:t>Il reste à examiner si la détention provisoire demeure conforme au principe de la proportionnalité et si des mesures de substitution telles que celles proposées par le recourant pourraient pallier efficacement au risque constaté.</w:t>
      </w:r>
    </w:p>
    <w:p>
      <w:r>
        <w:rPr>
          <w:b/>
        </w:rPr>
        <w:t>E. 2.4.1</w:t>
      </w:r>
    </w:p>
    <w:p>
      <w:r>
        <w:t>La proportionnalité de la détention provisoire doit être examinée au regard de l’ensemble des circonstances concrètes du cas d’espèce (ATF 133 I 168 consid. 4.1 et les arrêts cités). A cet égard, il est admis que le juge peut maintenir la détention provisoire aussi longtemps</w:t>
      </w:r>
    </w:p>
    <w:p>
      <w:r>
        <w:t>- 9 - qu’elle n’est pas très proche de la durée de la peine privative de liberté à laquelle il faut s’attendre concrètement en cas de condamnation (art. 212 al. 3 CPP; cf. ATF 133 I 168 consid. 4.1; ATF 132 I 21 consid. 4.1). Toutefois, le fait que la peine encourue puisse être assortie du sursis, total ou partiel, n'est pas déterminant sous l'angle de la proportionnalité (ATF 133 I 270 consid. 3.4.2). 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(cf. Moreillon/Parein-Reymond, Petit commentaire du Code de procédure pénale, 2e éd., Bâle 2017, n. 12 ad art. 237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in : Kuhn/Jeanneret [éd.], op. cit., n.</w:t>
      </w:r>
    </w:p>
    <w:p>
      <w:r>
        <w:rPr>
          <w:b/>
        </w:rPr>
        <w:t>E. 2.4.2</w:t>
      </w:r>
    </w:p>
    <w:p>
      <w:r>
        <w:t>En l’occurrence, le recourant est déjà détenu depuis plus de 8 mois et les faits qui lui sont reprochés ne se sont produits que dans le cadre d’un seul épisode, dans un très court laps de temps. De plus, si les experts ont retenu l’existence d’un risque de réitération faible à modéré, ils ont aussi renoncé à émettre un diagnostic de trouble mental avéré, se bornant à mettre en lumière des traits de personnalité immature chez Q.________. Dans ces circonstances, les mesures de substitution proposées apparaissent nécessaires, mais également suffisantes, pour prévenir le</w:t>
      </w:r>
    </w:p>
    <w:p>
      <w:r>
        <w:t>- 11 - risque de récidive retenu. Certes, quand bien même, comme le relève le premier juge, il n’existe pas de moyen technique de surveillance permettant d’obtenir la garantie absolue que le prévenu respecte ses engagements, il ne faut pas sous-estimer la menace que constituera pour lui le retour en détention s’il ne devait pas respecter les mesures de substitution prononcées. Il convient donc d’ordonner la libération immédiate de Q.________, moyennant l’interdiction pour lui de prendre contact, de quelque manière que ce soit avec F.________, ainsi qu’avec la famille de cette dernière, l’interdiction de s’approcher à moins de 500 mètres du domicile de la jeune fille ou de celui de son père, ainsi que de tout autre lieu de résidence où elle pourrait se trouver, l’interdiction enfin d’entrer en contact avec des enfants mineurs. Conformément à la jurisprudence, ces mesures de substitution doivent être prononcées pour une durée déterminée qui, au vu de l’ensemble des circonstances – en particulier le fait que le recourant se voit imposer des mesures manifestement moins lourdes que la détention et qu’il a d’ailleurs lui-même proposées – sera arrêtée à six mois ce qui correspond au maximum prévu par la loi (art. 227 al. 7 CPP ; ATF 141 IV 190 consid. 3.3), étant précisé que le recourant pourra en tout temps saisir l'autorité d'une demande de révocation ou de modification des mesures de substitution (art. 237 al. 5 et art. 228 CPP, par renvoi de l'art. 237 al. 4 CPP).</w:t>
      </w:r>
    </w:p>
    <w:p>
      <w:r>
        <w:rPr>
          <w:b/>
        </w:rPr>
        <w:t>E. 3</w:t>
      </w:r>
    </w:p>
    <w:p>
      <w:r>
        <w:t>En définitive, le recours doit être partiellement admis et l’ordonnance du 10 juillet 2017 réformée dans le sens des considérants qui précèdent. Vu l’admission du recours, la requête d’effet suspensif contenue dans le recours devient sans objet.</w:t>
      </w:r>
    </w:p>
    <w:p>
      <w:r>
        <w:t>- 12 - L’indemnité due au défenseur d’office du recourant sera fixée à 540 fr., plus la TVA, par 43 fr. 20, ce qui porte le montant alloué à 583 fr. 20. Vu l’issue du recours, les frais de la procédure de recours, constitués en l'espèce de l'émolument d’arrêt, par 1’210 fr. (art. 20 al. 1 TFIP [Tarif des frais de procédure et indemnités en matière pénale du 28 septembre 2010; RSV 312.03.1]), et des frais imputables à la défense d’office (art. 422 al. 1 et al. 2 let. a CPP), par 583 fr. 20, seront laissés à la charge de l’Etat. Par ces motifs, la Chambre des recours pénale prononce : I. Le recours est partiellement admis. II. La détention provisoire du recourant est levée avec effet immédiat moyennant le respect des mesures de substitution énoncées aux chiffres III, IV et V ci-après, lesquelles sont ordonnées pour une durée de six mois. III. Interdiction est faite au recourant de prendre contact, de quelque manière que ce soit, avec F.________, ainsi qu'avec la famille de cette dernière. IV. Interdiction est faite au recourant de s'approcher à moins de 500 m du domicile de F.________ et de celui de son père, ainsi que de tout autre lieu de résidence où elle pourrait se trouver. V. Interdiction est faite au recourant d’entrer en contact avec des enfants mineurs. VI. La requête d’effet suspensif subsidiairement de mesures superprovisionnelles et provisionnelles est sans objet. VII. L’indemnité allouée au défenseur d'office du recourant est fixée à 583 fr. 20 (cinq cent huitante-trois francs et vingt centimes), TVA comprise.</w:t>
      </w:r>
    </w:p>
    <w:p>
      <w:r>
        <w:t>- 13 - VIII. Les frais d'arrêt, par 1’210 fr. (mille deux cent dix francs), ainsi que l'indemnité due au défenseur d'office du recourant, par 583 fr. 20 (cinq cent huitante-trois francs et vingt centimes), sont laissés à la charge de l’Etat. IX. L’arrêt est exécutoire. Le président : La greffière : Du Le présent arrêt, dont la rédaction a été approuvée à huis clos, est notifié, par l'envoi d'une copie complète, à : - Me Christophe Borel (pour Q.________) (et par fax), - Ministère public central (et par fax), et communiqué à : - M. le Président du Tribunal des mesures de contrainte (et par fax), - Mme la Procureure de l’arrondissement de Lausanne (et par fax), - Me Marie-Pomme Moinat (pour [...]) (et par fax), - Office d’exécution des peines (et par fax), - Prison de la Croisée (et par fax), - Service de la population, secteur étrangers (par voie électronique),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