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PE16.022053 vom 15. Juli 2022</w:t>
      </w:r>
    </w:p>
    <w:p>
      <w:r>
        <w:t>VD Tribunal cantonal, 2022-07-15, FR</w:t>
      </w:r>
    </w:p>
    <w:p>
      <w:r>
        <w:rPr>
          <w:b/>
        </w:rPr>
        <w:t xml:space="preserve">Quelle: </w:t>
      </w:r>
      <w:r>
        <w:t>https://mcp.opencaselaw.ch/entscheid/vd_gerichte_PE16.022053</w:t>
      </w:r>
    </w:p>
    <w:p>
      <w:r>
        <w:t>FR: VD_GERICHTE PE16.022053 du 15 juillet 2022</w:t>
      </w:r>
    </w:p>
    <w:p>
      <w:r>
        <w:t>IT: VD_GERICHTE PE16.022053 del 15 luglio 2022</w:t>
      </w:r>
    </w:p>
    <w:p>
      <w:pPr>
        <w:pStyle w:val="Heading2"/>
      </w:pPr>
      <w:r>
        <w:t>Erwägungen</w:t>
      </w:r>
    </w:p>
    <w:p>
      <w:r>
        <w:rPr>
          <w:b/>
        </w:rPr>
        <w:t>E. 3</w:t>
      </w:r>
    </w:p>
    <w:p>
      <w:r>
        <w:t>Les recourants font valoir que des mesures élémentaires de sécurité n’ont pas été respectées sur le chantier et qu’à plusieurs stades le devoir de prudence a été violé de manière crasse.</w:t>
      </w:r>
    </w:p>
    <w:p>
      <w:r>
        <w:rPr>
          <w:b/>
        </w:rPr>
        <w:t>E. 3.1.1</w:t>
      </w:r>
    </w:p>
    <w:p>
      <w:r>
        <w:t>Celui qui, par négligence, aura causé la mort d’une personne sera puni d’une peine privative de liberté de trois ans au plus ou d’une peine pécuniaire (art. 117 CP [Code pénal suisse du 21 décembre 1937 ; RS 311.0]).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Une condamnation pour homicide par négligence au sens de l’art. 117 CP suppose ainsi la réalisation de trois éléments constitutifs, à savoir le décès d’une personne, une négligence, ainsi qu’un rapport de causalité naturelle et adéquate entre les deux premiers éléments (ATF 133 IV 145 consid. 3 ; TF 6B_33/2021 du 12 juillet 2021 consid. 3.1 et l’arrêt cité).</w:t>
      </w:r>
    </w:p>
    <w:p>
      <w:r>
        <w:rPr>
          <w:b/>
        </w:rPr>
        <w:t>E. 3.1.2</w:t>
      </w:r>
    </w:p>
    <w:p>
      <w:r>
        <w:t>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 ATF 135 IV 56 consid. 2.1 et les références citées). Lorsqu’il existe des normes de sécurité spécifiques qui imposent un comportement déterminé pour prévenir les accidents, le devoir de prudence se définit en premier lieu à l’aune de ces normes (ATF 143 IV 138 consid. 2.1 ; ATF 135 IV 56 consid. 2.1). Dans le domaine du trafic routier, on se référera donc aux règles de la circulation (ATF 126 IV 91 consid. 4a/aa ; ATF 122 IV 133 consid. 2a ; ATF 122 IV 225 consid. 2a ; TF 6B_1280/2019 du 5 février 2020 consid.</w:t>
      </w:r>
    </w:p>
    <w:p>
      <w:r>
        <w:t>- 9 - 4.1). Dans le domaine de la construction, il convient en particulier de se référer aux prescriptions contenues dans l’Ordonnance sur la sécurité et la protection de la santé des travailleurs dans les travaux de construction (OTConst ; RS 832.311.141 ; ATF 104 IV 96, JdT 1979 IV 138). S’il y a eu violation des règles de la prudence, encore faut-il que celle-ci puisse être imputée à faute, c’est-à-dire que l’on puisse reprocher à l’auteur une inattention ou un manque d’effort blâmable (ATF 143 IV 138 ; ATF 135 IV 56 ; ATF 124 IV 255 consid. 4.2.3 et les références citées). Cette violation doit encore se trouver en rapport de causalité naturelle et adéquate avec le résultat de l’infraction (ATF 135 IV 56 ; TF 6B_637/2018 du 24 octobre 2018 consid. 1.1).</w:t>
      </w:r>
    </w:p>
    <w:p>
      <w:r>
        <w:rPr>
          <w:b/>
        </w:rPr>
        <w:t>E. 3.1.3</w:t>
      </w:r>
    </w:p>
    <w:p>
      <w:r>
        <w:t>Les concepts de causalité adéquate et naturelle ont été rappelés aux ATF 143 III 242 consid. 3.7 et ATF 142 IV 237 consid. 1.5, et ont été précisés aux ATF 133 IV 158 consid. 6.1 et ATF 131 IV 145 consid. 5, auxquels il convient de se référer.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s’y attendre. Cependant, cette imprévisibilité de l’acte concurrent ne suffit pas en soi à interrompre le lien de causalité adéquate. Il faut encore que cet acte ait une importance telle qu’il s’impose comme la cause la plus probable et la plus immédiate de l’évènement considéré, reléguant à l’arrière-plan tous les autres facteurs qui ont contribué à amener celui-ci, notamment le comportement de l’auteur (ATF 135 IV 56 consid. 2.1 ; ATF 134 IV 255 consid. 4.4.2 ; ATF 133 Iv 158 consid. 6.1 et les références citées).</w:t>
      </w:r>
    </w:p>
    <w:p>
      <w:r>
        <w:rPr>
          <w:b/>
        </w:rPr>
        <w:t>E. 3.1.4</w:t>
      </w:r>
    </w:p>
    <w:p>
      <w:r>
        <w:t>Selon l’art. 3 al. 5 de OTConst (Ordonnance sur les travaux de construction du 29 juin 2005 dans sa teneur au 8 novembre 2016 ; RS 832.311.141 ; abrogée par l’OTConst du 18 juin 2021 entrée en vigueur le 1er janvier 2022), l’employeur qui exécute des travaux de construction doit veiller à ce que matériel, installations et appareils adéquats soient</w:t>
      </w:r>
    </w:p>
    <w:p>
      <w:r>
        <w:t>- 10 - disponibles à temps et en quantité suffisante. Ils doivent être en parfait état de fonctionnement et satisfaire aux exigences de la sécurité au travail et de la protection de la santé. Les endroits non protégés présentant une hauteur de chute de plus de 2 mètres et ceux situés à proximité de cours d’eau et de talus doivent être pourvus d’une protection latérale (art. 15 al. 1 OTConst). Cette dernière doit se composer d’un garde-corps, d’une filière intermédiaire et d’une plinthe (art. 16 al. 1 OTConst).</w:t>
      </w:r>
    </w:p>
    <w:p>
      <w:r>
        <w:rPr>
          <w:b/>
        </w:rPr>
        <w:t>E. 3.2.1</w:t>
      </w:r>
    </w:p>
    <w:p>
      <w:r>
        <w:t>Les recourants affirment en particulier que les garde-corps ont été enlevés trop tôt et soutiennent que les travaux étaient toujours en cours lorsque la décision a été prise de démonter les échafaudages. Or, selon A.F.________ (PV aud. 6, l. 86-87) et B.F.________ (PV aud. 8, l. 51-59), les travaux depuis la plateforme étaient terminés. Il était en outre prévu qu’en cas de nouveaux travaux à cet endroit, un fil de vie et un harnais soient utilisés, selon A.F.________. Tous les éventuels travaux pouvaient se faire depuis une nacelle selon B.F.________. Selon Z.________, cette zone était inaccessible et interdite (PV aud. 7, l. 129). En outre, la décision d’enlever les garde-corps a été prise après des réunions de chantier lors desquelles la question de la fin des travaux avait été abordée. Ainsi, et même si B.________, directeur de la société [...] SA, estime que les garde-corps ont été enlevés trop tôt, force est de constater que toutes les autres personnes entendues des différentes entreprises intervenant sur le chantier considéraient que les travaux sur la plateforme étaient terminés et qu’il y a ainsi lieu de retenir que tel était le cas.</w:t>
      </w:r>
    </w:p>
    <w:p>
      <w:r>
        <w:rPr>
          <w:b/>
        </w:rPr>
        <w:t>E. 3.2.2</w:t>
      </w:r>
    </w:p>
    <w:p>
      <w:r>
        <w:t>Les recourants font valoir que différentes personnes avaient planifié des travaux complémentaires sur la plateforme non sécurisée. Le dossier ne permet pas de le retenir. Le fait que l’éclairage était défectueux est apparu en effet après coup, soit le 4 novembre 2016, de sorte que ces travaux n’étaient pas déjà prévus quand les garde-corps ont été retirés. Le fait qu’il y aurait eu d’autres interventions sur ce lieu non sécurisé – ce qui ne semble pas établi – ne suffit pas à retenir une</w:t>
      </w:r>
    </w:p>
    <w:p>
      <w:r>
        <w:t>- 11 - violation du devoir de prudence dans la mesure où l’on ignore si les ouvriers étaient assurés lorsqu’ils les auraient entrepris. On ne peut par ailleurs pas retenir – comme le soutiennent les recourants – une violation du devoir de prudence dans le fait qu’entre le retrait des garde-corps et le 8 novembre 2016, le prévenu et B.V.________ n’auraient pas été rendus attentifs aux dangers, dans la mesure où il ne devait plus y avoir d’intervention sur cette plateforme. Enfin, le 8 novembre 2016, le prévenu et son collègue sont montés sur la plateforme avec la nacelle. B.V.________ n’avait aucun moyen de descendre, lorsque Q.________ est allé chercher du matériel et a laissé la nacelle en position basse. Or, B.V.________ n’est pas resté seul longtemps, dès lors que le prévenu est descendu chercher des néons qui manquaient, ce qui a duré, selon ses déclarations, quarante secondes ou une minute, et les travaux à effectuer étaient éloignés du vide. On ne peut ainsi pas retenir de violation du devoir de prudence de Q.________ à cet égard non plus.</w:t>
      </w:r>
    </w:p>
    <w:p>
      <w:r>
        <w:rPr>
          <w:b/>
        </w:rPr>
        <w:t>E. 3.2.3</w:t>
      </w:r>
    </w:p>
    <w:p>
      <w:r>
        <w:t>Les recourants font valoir que le défunt était un simple employé temporaire et que Q.________ occupait une position de garant à son égard. Il est vrai que le prévenu était au bénéfice d’un contrat de durée indéterminée contrairement à B.V.________. Toutefois, celui-ci était très expérimenté et avait près de trente ans de plus que son collègue. Ils avaient déjà travaillé ensemble sur un autre chantier, travaillaient depuis août 2016 sur le chantier de la déchetterie [...] et étaient amis. Rien ne permet de retenir que le prévenu lui donnait des instructions, qu’il occupait une position hiérarchique supérieure et qu’il avait une position de garant à son égard.</w:t>
      </w:r>
    </w:p>
    <w:p>
      <w:r>
        <w:rPr>
          <w:b/>
        </w:rPr>
        <w:t>E. 3.2.4</w:t>
      </w:r>
    </w:p>
    <w:p>
      <w:r>
        <w:t>En outre, il ressort de l’instruction que le travail consistant à changer les luminaires éclairant la rampe d’accès n’était pas urgent et surtout qu’il était prévu que cette question soit traitée lors de la séance</w:t>
      </w:r>
    </w:p>
    <w:p>
      <w:r>
        <w:t>- 12 - hebdomadaire de chantier qui devait se dérouler l’après-midi même du jour de l’accident. Contrairement aux déclarations du prévenu, qui affirme qu’il n’est qu’un exécutant et que s’il a commencé les travaux, c’est qu’il en a reçu l’ordre (PV aud. 9, l. 43-44), il semble qu’il ait décidé de faire ce travail le matin même après que Z.________ lui avait indiqué à quel emplacement il souhaitait que ces lampes soient posées (PV aud. 3, l. 63- 64). Il savait en outre qu’il devait rendre rapidement la nacelle avec laquelle ils étaient montés, B.V.________ et lui, sur la plateforme. Il ne ressort pas du dossier qu’il a reçu l’ordre de faire immédiatement ces travaux. En outre, B.V.________ a assisté à la discussion avec Z.________. Il ne pouvait dès lors ignorer que le garde-corps avait été enlevé. Or, Q.________ a affirmé qu’ils avaient pris ensemble la décision de monter sur la plateforme (PV aud. 9, l. 189-190). Aucune mesure d’instruction n’est de nature à confirmer ou à infirmer cette assertion, de sorte qu’il ne pourrait qu’être retenu qu’ils sont montés d’un commun accord. De plus, le prévenu a considéré que la présence de garde- corps ne se justifiait pas car la surface faisait entre 50 et 60 mètres carrés et que le lieu d’intervention était éloigné de la zone dangereuse. D’autres témoins ont confirmé cette appréciation et ils ont indiqué qu’ils auraient agi comme le prévenu et exécuté ces travaux (cf. PV aud. 5, l. 115-116 ; PV au. 11, l. 145-148). Selon S.________, ancien employé de la société [...] SA, pourtant critique envers son ancien employeur (PV aud. 12), il n’y avait pas de risque flagrant (Ibid., l. 269-270). Certes, le fait de monter sur la plateforme sans être assuré comportait un certain risque, même si les travaux devaient être effectués à bonne distance du vide. Néanmoins, dans la mesure où cette distance était importante notamment lorsque Q.________ s’est absenté un court instant, on ne peut pas retenir de violation du devoir de prudence à son encontre. De plus, Q.________ n’occupait pas une position de garant vis-à- vis du défunt ; on ne peut en conséquence pas retenir à sa charge la violation d’un devoir de prudence, d’autant moins qu’on ignore pour quel</w:t>
      </w:r>
    </w:p>
    <w:p>
      <w:r>
        <w:t>- 13 - motif le défunt a quitté la zone où la nacelle l’a déposé pour s’approcher du vide. Pour le surplus, on ne peut pas non plus retenir de violation du devoir de prudence du maître d’ouvrage, des sociétés [...] SA ou [...] SA dans le fait que les garde-corps ont été enlevés, dès lors que les travaux sur la plateforme étaient censés être terminés.</w:t>
      </w:r>
    </w:p>
    <w:p>
      <w:r>
        <w:rPr>
          <w:b/>
        </w:rPr>
        <w:t>E. 3.3</w:t>
      </w:r>
    </w:p>
    <w:p>
      <w:r>
        <w:t>Au vu de ce qui précède, c’est à juste titre que le Ministère a prononcé le classement de la procédure ouverte à l’encontre de Q.________, pour homicide par négligence. Recours de Q.________</w:t>
      </w:r>
    </w:p>
    <w:p>
      <w:r>
        <w:rPr>
          <w:b/>
        </w:rPr>
        <w:t>E. 4</w:t>
      </w:r>
    </w:p>
    <w:p>
      <w:r>
        <w:t>Q.________ fait valoir que la réduction de quinze heures sur la durée d’activité indiquée par la note d’honoraires de son défenseur relève d’une grossière erreur d’appréciation du Ministère public, alors que ladite note est très largement compatible avec celle du conseil juridique gratuit de la partie plaignante. Il admet que deux opérations devaient être retranchées de la liste, soit une heure d’étude du dossier le 30 avril 2019 comptabilisée à double et 30 minutes pour l’établissement de la note d’honoraires, opération qui n’est habituellement pas facturée aux clients. Son défenseur a ainsi réduit sa note de 13'642 fr. 80 (cf. P. 96/2) à 12'578 francs.</w:t>
      </w:r>
    </w:p>
    <w:p>
      <w:r>
        <w:rPr>
          <w:b/>
        </w:rPr>
        <w:t>E. 4.1.1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visée par l’art. 429 al. 1 let. a CPP couvre en particulier les honoraires d’avocat, à condition que le recours à celui-ci procède d’un exercice raisonnable des droits de procédure (ATF 142 IV 45 consid. 2.1). L’Etat ne prend en charge les frais de défense que si</w:t>
      </w:r>
    </w:p>
    <w:p>
      <w:r>
        <w:t>- 14 -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Selon la jurisprudence, l’indemnité doit correspondre au tarif usuel du barreau applicable dans le canton où la procédure se déroule (ATF 142 IV 163 consid. 3.1.2 ; TF 6B_565/2019 du 12 juin 2019 consid. 6.1).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w:t>
      </w:r>
    </w:p>
    <w:p>
      <w:r>
        <w:rPr>
          <w:b/>
        </w:rPr>
        <w:t>E. 4.1.2</w:t>
      </w:r>
    </w:p>
    <w:p>
      <w:r>
        <w:t>Le Procureur a constaté que la durée globale des opérations, en particulier la participation aux audiences d’instruction, apparaissait surévaluée. Or, 2h30 ont été comptabilisées pour l’audience du 30 janvier 2018 alors que celle-ci a duré, selon le procès-verbal, 2h10, 1h30 pour celle du 30 mai 2018 selon le procès-verbal alors qu’elle a duré 1h20, et 4 heures pour celle du 20 juin 2018 alors qu’elle a duré selon le procès- verbal 3h48. Une différence de 19 minutes s’explique par le fait que les audiences ont commencé avec un peu de retard. Pour le reste, la différence (21 minutes) provient du fait que dans le temps d’audience, les discussions après l’audience avec le client sont incluses. Dans cette mesure, le temps comptabilisé pour les audiences devant le Ministère public ne prête pas le flanc à la critique et ne doit pas être réduit.</w:t>
      </w:r>
    </w:p>
    <w:p>
      <w:r>
        <w:t>- 15 - S’agissant du temps d’étude du dossier, il s’élève au total à 8 heures. Compte tenu de la complexité de l’affaire, du fait que l’instruction a duré plus de quatre ans, qu’en octobre 2018, le Procureur envisageait une mise en accusation et que le temps consacré aux diverses lettres au Ministère public est modeste, cette durée ne paraît pas excessive. Quant aux conférences avec le client qui ont été au nombre de quatre pour une durée totale de 5h25, ce qui correspond à une conférence par année, leur durée n’est pas non plus critiquable. Compte tenu de ce qui précède, c’est à tort que le Ministère public a réduit la durée des opérations consacrée à la défense de Q.________ annoncées par le mandataire de celui-ci.</w:t>
      </w:r>
    </w:p>
    <w:p>
      <w:r>
        <w:rPr>
          <w:b/>
        </w:rPr>
        <w:t>E. 5</w:t>
      </w:r>
    </w:p>
    <w:p>
      <w:r>
        <w:t>Il résulte de ce qui précède que le recours de W.________ et A.V.________ doit être rejeté sans échange d’écriture (art. 390 al. 2 CPP) et que celui de Q.________ doit être admis, l’ordonnance de classement du 4 novembre 2021 étant réformée au chiffre II de son dispositif en ce sens qu’une indemnité de 12'578 fr. au sens de l’art. 429 al. 1 let. a CPP lui est allouée. Compte tenu de la nature de l’affaire et de l’acte de recours déposé, l’indemnité allouée au conseil juridique gratuit de W.________ et A.V.________ sera fixée à 1'440 fr., correspondant à une activité nécessaire d’avocat de huit heures au tarif horaire de 180 fr., montant auquel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28 fr. 80, plus la TVA au taux de 7,7 %, par 113 fr. 10, soit à 1'582 fr. au total en chiffres arrondis. Pour des motifs d’équité, cette indemnité sera exceptionnellement laissée à la charge de l’Etat.</w:t>
      </w:r>
    </w:p>
    <w:p>
      <w:r>
        <w:t>- 16 - Q.________ qui a procédé avec l’assistance d’un avocat de choix et qui a obtenu gain de cause, a droit à une indemnité pour les dépenses occasionnées par la procédure de recours (art. 429 al. 1 let. a CPP, applicable par renvoi de l’art. 436 al. 1 CPP). Au vu de la difficulté de la cause et du mémoire produit, il se justifie de lui allouer une indemnité correspondant à deux heures d’activité d’avocat à 300 fr. de l’heure (art. 26a al. 3 TFIP), soit 600 fr. pour les honoraires d’avocat, auxquels il convient d’ajouter des débours forfaitaires à concurrence de 2 % (art. 19 al. 2 TDC [tarif des dépens en matière civile du 23 novembre 2010 ; BLV 270.11.6], applicable par renvoi de l’art. 26a al. 6 TFIP), par 12 fr., plus la TVA sur le tout, par 47 fr., soit 659 fr. au total en chiffres arrondis. Cette indemnité sera laissée à la charge de l’Etat (ATF 141 IV 476 consid. 1.2). Vu le sort des recours, les frais de la procédure, constitués de l’émolument d’arrêt, par 1'650 fr. (art. 20 al. 1 TFIP), seront laissés à la charge de l’Etat. Par ces motifs, la Chambre des recours pénale prononce : I. Le recours de W.________ et A.V.________ est rejeté. II. Le recours de Q.________ est admis. III. L’ordonnance de classement du 4 novembre 2021 est réformée au chiffre II de son dispositif en ce sens qu’une indemnité de 12'578 fr. (douze mille cinq cent septante-huit francs) au sens de l’art. 429 al. 1 let. a CPP est allouée à Q.________, à la charge de l’Etat. L’ordonnance est confirmée pour le surplus. IV. L’indemnité allouée à Me Stefan Disch, conseil juridique gratuit de W.________ et A.V.________, est fixée à 1'582 fr. (mille cinq cent huitante-deux francs). V. L’indemnité allouée à Q.________ pour l’exercice raisonnable de ses droits de procédure est fixée à 659 fr. (659 francs).</w:t>
      </w:r>
    </w:p>
    <w:p>
      <w:r>
        <w:t>- 17 - VI. Les frais d’arrêt, par 1'650 fr. (mille six cent cinquante francs), ainsi que les indemnités fixées sous chiffres IV et V ci-dessus, sont laissés à la charge de l’Etat. VII. L’arrêt est exécutoire. Le président : La greffière : Du Le présent arrêt, dont la rédaction a été approuvée à huis clos, est notifié, par l'envoi d'une copie complète, à : - Me Stefan Disch, avocat (pour W.________ et A.V.________), - Me Eric Stauffacher, avocat (pour Q.________),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- 18 -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