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PE16.021999 vom 30. Dezember 2016</w:t>
      </w:r>
    </w:p>
    <w:p>
      <w:r>
        <w:t>VD Tribunal cantonal, 2016-12-30, FR</w:t>
      </w:r>
    </w:p>
    <w:p>
      <w:r>
        <w:rPr>
          <w:b/>
        </w:rPr>
        <w:t xml:space="preserve">Quelle: </w:t>
      </w:r>
      <w:r>
        <w:t>https://mcp.opencaselaw.ch/entscheid/vd_gerichte_PE16.021999</w:t>
      </w:r>
    </w:p>
    <w:p>
      <w:r>
        <w:t>FR: VD_GERICHTE PE16.021999 du 30 décembre 2016</w:t>
      </w:r>
    </w:p>
    <w:p>
      <w:r>
        <w:t>IT: VD_GERICHTE PE16.021999 del 30 dicembre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la partie plaignante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w:t>
      </w:r>
    </w:p>
    <w:p>
      <w:r>
        <w:t>- 4 -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2.2</w:t>
      </w:r>
    </w:p>
    <w:p>
      <w:r>
        <w:t>En l’espèce, le recourant reproche à la Fondation Q.________ d’avoir rédigé une attestation dans laquelle elle reconnaitrait la qualité de victime LAVI à son épouse en mentionnant plusieurs infractions pénales et grâce à laquelle celle-ci aurait introduit diverses procédures judiciaires infondées contre lui, lui causant ainsi une atteinte à l’honneur. Toutefois, comme l’a relevé à juste titre le Ministère public, le formulaire accordant à l’épouse du recourant le statut de victime LAVI n’a qu’une portée limitée, à savoir une prise en charge principalement financière. Tant que les faits n’auront pas été définitivement arrêtés par l’autorité pénale, le statut de victime se fonde uniquement sur les allégations de celui qui se prétend lésé au sens de l’art. 116 CPP (ATF 126 IV 147 consid. 1 et la référence citée). L’attestation rédigée par la Fondation Q.________ n’a dès lors aucune portée juridique et ne pouvait</w:t>
      </w:r>
    </w:p>
    <w:p>
      <w:r>
        <w:t>- 5 - jeter sur le recourant le soupçon de tenir une conduite contraire à l'honneur ou être propre à porter atteinte à sa considération envers les tiers qui ont eu connaissance de ce document. Il apparait ainsi que les éléments constitutifs des infractions de diffamation et calomnie ne sont pas réalisés, et c’est à bon droit que le Procureur a rendu une ordonnance de non-entrée en matière.</w:t>
      </w:r>
    </w:p>
    <w:p>
      <w:r>
        <w:rPr>
          <w:b/>
        </w:rPr>
        <w:t>E. 3</w:t>
      </w:r>
    </w:p>
    <w:p>
      <w:r>
        <w:t>Il résulte de ce qui précède que le recours doit être rejeté et l’ordonnance attaquée confirmée. La requête tendant à l’octroi de l’assistance judiciaire gratuite pour la procédure de recours doit être rejetée, le recours apparaissant d’emblée dénué de chances de succès (art. 136 al. 1 let. b CPP ; CREP 4 mai 2015/304 consid. 3 ; CREP 30 juillet 2014/525 consid. 3).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16 novembre 2016 est confirmée. III. La requête d’assistance judiciaire gratuite est rejetée.</w:t>
      </w:r>
    </w:p>
    <w:p>
      <w:r>
        <w:t>- 6 - IV. Les frais d'arrêt, par 550 fr. (cinq cent cinquante francs), sont mis à la charge de A.Z.________. V. L’arrêt est exécutoire. Le président : La greffière : Du Le présent arrêt, dont la rédaction a été approuvée à huis clos, est notifié, par l'envoi d'une copie complète, à : - M. A.Z.________,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