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PE16.020705 vom 24. Oktober 2017</w:t>
      </w:r>
    </w:p>
    <w:p>
      <w:r>
        <w:t>VD Tribunal cantonal, 2017-10-24, FR</w:t>
      </w:r>
    </w:p>
    <w:p>
      <w:r>
        <w:rPr>
          <w:b/>
        </w:rPr>
        <w:t xml:space="preserve">Quelle: </w:t>
      </w:r>
      <w:r>
        <w:t>https://mcp.opencaselaw.ch/entscheid/vd_gerichte_PE16.020705</w:t>
      </w:r>
    </w:p>
    <w:p>
      <w:r>
        <w:t>FR: VD_GERICHTE PE16.020705 du 24 octobre 2017</w:t>
      </w:r>
    </w:p>
    <w:p>
      <w:r>
        <w:t>IT: VD_GERICHTE PE16.020705 del 24 ottobre 2017</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RSV 312.01]; art. 80 LOJV [loi d’organisation judiciaire; RSV 173.01]). En l'espèce, interjeté en temps utile et dans les formes prescrites (art. 385 al. 1 CPP) auprès de l’autorité compétente, par les parties plaignantes qui ont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JdT 2012 IV 160 consid. 2.3 et les</w:t>
      </w:r>
    </w:p>
    <w:p>
      <w:r>
        <w:t>- 6 -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3.1</w:t>
      </w:r>
    </w:p>
    <w:p>
      <w:r>
        <w:t>Les recourants se plaignent d’un abus du pouvoir d’appréciation. Ils soutiennent n’avoir aucune connaissance dans le domaine du placement et d’investissement de fonds ainsi que dans l’utilisation des outils boursiers, compte tenu de leurs formations respectives d’assistante en pharmacie et d’agent de voyage. Ils reprochent en outre au procureur de ne pas avoir examiné la problématique des rétro-commissions.</w:t>
      </w:r>
    </w:p>
    <w:p>
      <w:r>
        <w:rPr>
          <w:b/>
        </w:rPr>
        <w:t>E. 3.2</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donc, que l'auteur ait un devoir de gestion ou de sauvegarde, qu'il ait violé une obligation qui lui revient en cette qualité et qu'il en soit résulté un dommage. Sur le plan subjectif, il faut qu'il ait agi intentionnellement; le dol éventuel suffit, mais il doit être caractérisé. L'infraction réprimée par l'art. 158 ch. 1 CP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p. 126). La qualité de gérant suppose un degré d'indépendance suffisant et un pouvoir de disposition autonome sur les biens administrés. Ce pouvoir peut aussi bien se manifester par la passation d'actes juridiques que par la</w:t>
      </w:r>
    </w:p>
    <w:p>
      <w:r>
        <w:t>- 7 -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 21). Le gérant de fortune constitue un exemple type de gérant au sens de l'art. 158 CP. La doctrine admet que « l'introducing broker », à savoir l'intermédiaire entre le client investisseur et le gestionnaire (broker), revêt la qualité de gérant, même si les fonds à gérer ne passent pas par son intermédiaire, mais que celui-ci est habilité à donner des ordres d'achat ou de vente au broker pour le compte de l'investisseur (TF 6B_967/2013 du 21 février 2014 consid. 3.1). Pour qu'il y ait gestion déloyale, il faut que le gérant ait violé une obligation liée à la gestion confiée (ATF 123 IV 17 consid. 3c p. 22).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(TF 6B_967/2013 précité). La notion de dommage au sens de la gestion déloyale doit être comprise comme pour les autres infractions contre le patrimoine, en particulier l'escroquerie (ATF 122 IV 279 consid. 2a). Ainsi, le dommage est une lésion du patrimoine sous la forme d'une diminution de l'actif, d'une augmentation du passif, d'une non-augmentation de l'actif ou d'une non- diminution du passif, mais aussi d'une mise en danger de celui-ci telle qu'elle a pour effet d'en diminuer la valeur du point de vue économique (ATF 129 IV 124 consid. 3.1; ATF 123 IV 17 consid. 3d). Il n'est pas nécessaire que le dommage corresponde à l'enrichissement de l'auteur, ni qu'il soit chiffré; il suffit qu'il soit certain (TF 6B_986/2008 du 20 avril 2009 consid. 4.1).</w:t>
      </w:r>
    </w:p>
    <w:p>
      <w:r>
        <w:t>- 8 - L’art. 398 al. 2 CO, qui prévoit que le mandataire est responsable envers le mandant de la bonne et fidèle exécution du mandat, s’applique à la gestion de fortune (ATF 124 III 155). Le devoir de fidélité oblige le mandataire à s'abstenir de toute démarche qui pourrait nuire aux intérêts de son mandant. Le gérant doit éviter tout agissement qui cause un préjudice au client. Ainsi, il ne peut pas entreprendre des placements inutiles dans le seul but de débiter à ce dernier des commissions pour les transactions effectuées. Il ne peut effectuer des mouvements dans le portefeuille du client qui ne se justifient nullement au vu des intérêts de celui-ci, mais qui ont pour unique but de fonder des commissions, ce que la pratique qualifie de « churning » ou barattage. Un tel procédé, qui porte gravement atteinte aux intérêts du client, a été considéré comme tombant sous le coup de l'art. 158 CP (TF 6B_967/2013 précité). En particulier, les conseillers ou intermédiaires en investissement qui sont spécialisés dans le négoce en bourse de produits dérivés sont soumis, à côté d'un devoir d'information, à un devoir de conseil et de mise en garde. Ces devoirs existent non seulement lors des pourparlers, mais également pendant l'exécution du contrat. Ainsi, le gérant est tenu de renseigner le client quand certains faits nouveaux pourraient amener le client soit à retirer le mandat, soit à en préciser le contenu. Il doit notamment informer le client sur toutes les pertes importantes survenues, sur les risques de conflits d'intérêts ou sur des changements de politique dans les placements. Il doit avertir le client si l'importance de la rémunération est telle qu'elle influe sur le résultat de la gestion (TF 6B_967/2013 du 21 février 2014 consid. 3.2.1 et les réf. citées). La jurisprudence a eu en outre l’occasion de préciser que tombait sous le coup de la gestion déloyale, le comportement de celui qui, sans se livrer à du barattage, occasionne un nombre indésirable d’opérations dont il résulte des commissions disproportionnées par rapport au capital investi. Pour juger de la disproportion, il faut appliquer le taux</w:t>
      </w:r>
    </w:p>
    <w:p>
      <w:r>
        <w:t>- 9 - appliqué aux taux habituellement applicables qui se situent entre 0,3 à 1% du capital investi ou entre 7 et 15% du bénéficie (TF 6B_967/2013 du 21 février 2014 consid. 3.2.1).</w:t>
      </w:r>
    </w:p>
    <w:p>
      <w:r>
        <w:rPr>
          <w:b/>
        </w:rPr>
        <w:t>E. 3.3</w:t>
      </w:r>
    </w:p>
    <w:p>
      <w:r>
        <w:t>En l’espèce, on manque d’informations sur l’étendue des dommages. Si l’on en croit le procès-verbal de la séance du 30 mai 2016 dans les locaux de J.________SA (P. 4/5), le capital placé sous gestion aurait passé de 500'000 fr. à 230’000 fr. entre 2011 et 2016. On ne dispose cependant d’aucune pièce sur ce point et cette question doit être éclaircie. Il en va de même des prélèvements opérés par les plaignants. Selon ces derniers, ils se monteraient à 98'000 fr., alors que les représentants de J.________SA font état d’un retrait total de 380'000 francs. En outre, certains indices, en particulier l’absence totale d’expérience des recourants en la matière et la mention expresse dans le profil d’investissement d’un prélèvement mensuel de 5'000 fr. paraît accréditer la thèse des plaignants selon laquelle on leur aurait fait miroiter un rendement garanti de l’ordre de 10 à 12 % du capital investi. De surcroît, au vu de la part considérable représentée par ce capital dans la fortune de ces retraités, le profil d’investissement faisant état de plus de 75 %, on peine à envisager que les recourants puissent avoir accepté de prendre un risque « moyen », sans avoir été trompés sur le produit. En l’état, on ne peut exclure l’infraction de gestion déloyale, voire même d’escroquerie dans le cadre de la conclusion du contrat, et on ne peut ainsi conclure, comme le procureur, que la responsabilité pénale des représentants de J.________SA n’est pas engagée. Il conviendra préalablement de déterminer la quotité exacte de la perte, après déduction des montants prélevés par les plaignants, et ses causes (fluctuations de titres imprévues ou, au contraire, barattage ou prélèvement indu de frais, notamment). Au vu de ce qui précède, c’est à tort que le Ministère public a rendu une ordonnance de non-entrée en matière.</w:t>
      </w:r>
    </w:p>
    <w:p>
      <w:r>
        <w:rPr>
          <w:b/>
        </w:rPr>
        <w:t>E. 4</w:t>
      </w:r>
    </w:p>
    <w:p>
      <w:r>
        <w:t>En définitive, le recours doit être admis, l’ordonnance attaquée annulée et le dossier de la cause renvoyé au Ministère public de l’arrondissement de l’Est vaudois pour qu’il procède dans le sens des considérants qui précèdent.</w:t>
      </w:r>
    </w:p>
    <w:p>
      <w:r>
        <w:t>- 10 - Les frais de la procédure de recours, constitués en l'espèce du seul émolument d'arrêt, par 990 fr. (art. 422 al. 1 CPP et 20 al. 1 TFIP [Tarif des frais de procédure et indemnités en matière pénale du 28 septembre 2010 ; RSV 312.03.1]), seront laissés à la charge de l’Etat (art. 423 al. 1 CPP). Le montant de 550 fr. versé par les recourants à titre de sûretés leur sera restitué (art. 7 TFIP). Par ces motifs, la Chambre des recours pénale prononce : I. Le recours est admis. II. L’ordonnance du 3 mai 2017 est annulée. III. Le dossier de la cause est renvoyé au Ministère public de l’arrondissement de l’Est vaudois pour qu’il procède dans le sens des considérants. IV. Les frais d’arrêt, par 990 fr. (neuf cent nonante francs), sont laissés à la charge de l’Etat. V. Le montant de 550 fr. (cinq cent cinquante francs) versé par D.B.________ et B.B.________ à titre de sûretés leur est restitué. VI. L’arrêt est exécutoire. Le président : La greffière :</w:t>
      </w:r>
    </w:p>
    <w:p>
      <w:r>
        <w:t>- 11 - Du Le présent arrêt, dont la rédaction a été approuvée à huis clos, est notifié, par l'envoi d'une copie complète, à : - M. D.B.________, - Mme B.B.________,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