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PE16.020677 vom 13. Februar 2017</w:t>
      </w:r>
    </w:p>
    <w:p>
      <w:r>
        <w:t>VD Tribunal cantonal, 2017-02-13, FR</w:t>
      </w:r>
    </w:p>
    <w:p>
      <w:r>
        <w:rPr>
          <w:b/>
        </w:rPr>
        <w:t xml:space="preserve">Quelle: </w:t>
      </w:r>
      <w:r>
        <w:t>https://mcp.opencaselaw.ch/entscheid/vd_gerichte_PE16.020677</w:t>
      </w:r>
    </w:p>
    <w:p>
      <w:r>
        <w:t>FR: VD_GERICHTE PE16.020677 du 13 février 2017</w:t>
      </w:r>
    </w:p>
    <w:p>
      <w:r>
        <w:t>IT: VD_GERICHTE PE16.020677 del 13 febbraio 2017</w:t>
      </w:r>
    </w:p>
    <w:p>
      <w:pPr>
        <w:pStyle w:val="Heading2"/>
      </w:pPr>
      <w:r>
        <w:t>Volltext</w:t>
      </w:r>
    </w:p>
    <w:p>
      <w:r>
        <w:t>TRIBUNAL CANTONAL 110 PE16.020677-JRU CHAMBRE DE S RECO URS PEN ALE __________________________________________ Arrêt du 13 février 2017 __________________ Composition : M. MAILLARD, président MM. Krieger et Perrot, juges Greffière : Mme Aellen ***** Art. 310 CPP Statuant sur le recours interjeté le 20 décembre 2016 par X.________ contre l’ordonnance de non-entrée en matière rendue le 21 novembre 2016 par le Ministère public de l'arrondissement de La Côte dans la cause n° PE16.020677-JRU, la Chambre des recours pénale considère : En fait : A. Le 25 juin 2016, vers 22h30, Z.________, né le 27 janvier 2000, ainsi que [...] et [...] ont tous trois pénétré sans autorisation sur le domaine ferroviaire des CFF à la gare de Sébeillon, avenue de Sévelin 13, 351</w:t>
      </w:r>
    </w:p>
    <w:p>
      <w:r>
        <w:t>- 2 - à Lausanne. Z.________ et [...] sont ensuite montés sur un wagon marchandise et ont été électrisés. Le 21 septembre 2016, X.________, mère de Z.________, a déposé plainte pénale contre les Chemins de Fer Fédéraux Suisses (CFF) pour lésions corporelles par négligence. B. Par ordonnance du 21 novembre 2016, approuvée par le Procureur général le 6 décembre 2016 et envoyé sous pli simple à la plaignante le 9 décembre 2016, le Ministère public de l'arrondissement de La Côte a refusé d’entrer en matière et a laissé les frais à la charge de l’Etat. Dans cette ordonnance, le Procureur a notamment retenu que la victime avait adopté un comportement à ce point téméraire qu’il reléguait à l’arrière-plan la négligence que la plaignante entendait faire supporter aux CFF et que le lien de causalité adéquate était donc d’emblée exclu. C. Par acte du 20 décembre 2016, X.________, par son conseil, a recouru contre cette ordonnance, concluant à son annulation et à ce que le dossier de la cause soit retourné au Ministère public pour reprise de l’instruction. Elle a en outre requis la désignation de son avocat en qualité de conseil juridique gratuit. Par courrier du 9 février 2017, le Ministère public a indiqué qu’il n’entendait pas déposer des déterminations. En d roit :</w:t>
      </w:r>
    </w:p>
    <w:p>
      <w:r>
        <w:t>- 3 - 1. 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 art. 80 LOJV [loi d’organisation judiciaire ; RSV 173.01]). En l’espèce, le recours a été interjeté par la mère du lésé mineur, laquelle s’est constituée partie civile, demanderesse au civil. En tant que représentante légale de Z.________, il doit lui être reconnu la qualité de lésée (art. 30 al. 2 CP et 115 al. 2 CPP) qui fonde sa qualité pour recourir (art. 382 al. 1 CPP). Pour le surplus, interjeté en temps utile, devant l’autorité compétente et satisfaisant aux conditions de forme prescrites (art. 385 al. 1 CP), le recours est recevable.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 RS 101] et 2 al. 2 CPP en relation avec les art. 319 al. 1 et 324 CPP ;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Le ministère</w:t>
      </w:r>
    </w:p>
    <w:p>
      <w:r>
        <w:t>- 4 -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w:t>
      </w:r>
    </w:p>
    <w:p>
      <w:r>
        <w:t>- 5 - 3. 3.1 Selon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de l'art. 125 al. 2 CP est réalisée lorsque trois éléments sont réunis : une négligence commise par l'auteur, une lésion corporelle grave subie par la victime et un lien de causalité naturelle et adéquate entre la négligence et la lésion.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A ce titre, il faut, d’une part, que l'auteur ait violé les règles de la prudence que les circonstances lui imposaient pour ne pas excéder les limites du risque admissible (ATF 134 IV 255 consid. 4.3.2 ; ATF 129 IV 119 consid. 2.1 ; ATF 122 IV 145 consid. 3b/aa), et, d'autre part, qu'il n'ait pas déployé l'attention et les efforts que l'on pouvait attendre de lui pour se conformer à son devoir (ATF 135 IV 56 consid. 2.1 et les arrêts cités). Il faut en outre qu'il existe un rapport de causalité entre la violation fautive du devoir de prudence et les lésions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 autrement dit, elle n'est réalisée que lorsque l'acte attendu ne peut pas</w:t>
      </w:r>
    </w:p>
    <w:p>
      <w:r>
        <w:t>- 6 - être inséré intellectuellement dans le raisonnement sans en exclure, très vraisemblablement, le résultat. La causalité adéquate est ainsi exclue lorsque l'acte attendu n'aurait vraisemblablement pas empêché la survenance du résultat ou lorsqu'il serait simplement possible qu'il l'eût empêché. Il y a rupture de ce lien de causalité adéquate – l'enchaînement des faits perdant alors sa portée juridique – si une autre cause concomitante – par exemple une force naturelle, le comportement de la victime ou celui d'un tiers – propre au cas d'espèce constitue une circonstance tout à fait exceptionnelle ou apparaît si extraordinaire que l'on ne pouvait pas s'y attendre. Cette imprévisibilité de l'acte concurrent ne suffit toutefois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(TF 6B_315/2016 consid. 5 et les références citées). 3.2 En l’espèce, la gravité des lésions subies par Z.________ n’est pas remise en question. Il en va toutefois différemment du lien de causalité. Le rapport d’investigation de la police du 26 juin 2016 ne donne pas de détails sur la configuration des lieux. Toutefois, il est établi que les jeunes hommes ont pénétré sans droit dans une zone d’exploitation ferroviaire. Certes, le Tribunal des mineurs a ordonné le classement de la procédure pénale dirigée contre Z.________ et [...] pour contravention à la loi fédérale sur les chemins de fer (LCdF du 20 décembre 1957 ; RS 742.101), considérant qu’une sanction apparaissait inappropriée dès lors que les deux mineurs avaient été directement et gravement atteints par les conséquences de leurs actes. Il n’en demeure pas moins que ce soir-là, Z.________ et ses camarades se sont introduits sans droit dans cette zone. Or, le prénommé ne pouvait ignorer, malgré son jeune âge, qu’il est interdit et dangereux de monter sur un wagon,</w:t>
      </w:r>
    </w:p>
    <w:p>
      <w:r>
        <w:t>- 7 - quand bien même celui-ci est stationné dans une gare de déchargement proche d’habitations et qui peut apparaître désaffectée ou momentanément hors d’usage. Au surplus, il ressort du rapport de police qu’à l’arrivée des secours, un restant de drapeau suisse se trouvait accroché à la ligne de contact qui se trouvait au-dessus des deux jeunes hommes qui étaient montés sur le wagon. Cet élément laisse supposer que les jeunes gens ont tenté d’accrocher ledit drapeau sur les lignes de contact, faisant fi du danger notoirement connu que représente le fait d’approcher une ligne à très haute tension. En définitive, l’existence d’un lien de causalité entre le fait que les CFF n’aurait pas suffisamment indiqué les risques liés à la zone concernée et l’accident est manifestement rompu par le comportement de la victime qui s’est volontairement introduite dans une zone d’exploitation ferroviaire et qui est montée sur un wagon, comportement dont elle ne pouvait ignorer qu’elle la mettait potentiellement en danger. Ainsi, en cas de renvoi en jugement, la probabilité d’une condamnation du prévenu apparaît bien moins vraisemblable qu'un acquittement, faute de l’existence d’un lien de causalité. C’est donc à juste titre que le procureur a refusé d’entrer en matière au sens de l’art. 310 CPP. 4. Il résulte de ce qui précède que le recours doit être rejeté et l’ordonnance attaquée confirmée. La requête tendant à l’octroi de l’assistance judiciaire gratuite pour la procédure de recours doit être rejetée, le recours apparaissant d’emblée dénué de chances de succès (art. 136 al. 1 let. b CPP ; CREP 4 mai 2015/304 consid. 3 ; CREP 30 juillet 2014/525 consid. 3). Les frais de la procédure de recours, constitués en l’espèce du seul émolument d'arrêt (art. 422 al. 1 CPP), par 770 fr. (art. 20 al. 1 TFIP [tarif des frais de procédure et indemnités en matière pénale du 28 septembre 2010 ; RSV 312.03.1]), seront mis à la charge de la recourante, qui succombe (art. 428 al. 1 CPP).</w:t>
      </w:r>
    </w:p>
    <w:p>
      <w:r>
        <w:t>- 8 - Par ces motifs, la Chambre des recours pénale prononce : I. Le recours est rejeté. II. L’ordonnance du 21 novembre 2016 est confirmée. III. La requête d’assistance judiciaire gratuite est rejetée. IV. Les frais d’arrêt, par 770 fr. (sept cent septante francs), sont mis à la charge de X.________. V. L’arrêt est exécutoire. Le président : La greffière : Du Le présent arrêt, dont la rédaction a été approuvée à huis clos, est notifié, par l'envoi d'une copie complète, à : - Me François Chanson, avocat (pour X.________),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