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PE16.020173 vom 20. April 2017</w:t>
      </w:r>
    </w:p>
    <w:p>
      <w:r>
        <w:t>VD Tribunal cantonal, 2017-04-20, FR</w:t>
      </w:r>
    </w:p>
    <w:p>
      <w:r>
        <w:rPr>
          <w:b/>
        </w:rPr>
        <w:t xml:space="preserve">Quelle: </w:t>
      </w:r>
      <w:r>
        <w:t>https://mcp.opencaselaw.ch/entscheid/vd_gerichte_PE16.020173</w:t>
      </w:r>
    </w:p>
    <w:p>
      <w:r>
        <w:t>FR: VD_GERICHTE PE16.020173 du 20 avril 2017</w:t>
      </w:r>
    </w:p>
    <w:p>
      <w:r>
        <w:t>IT: VD_GERICHTE PE16.020173 del 20 aprile 2017</w:t>
      </w:r>
    </w:p>
    <w:p>
      <w:pPr>
        <w:pStyle w:val="Heading2"/>
      </w:pPr>
      <w:r>
        <w:t>Erwägungen</w:t>
      </w:r>
    </w:p>
    <w:p>
      <w:r>
        <w:rPr>
          <w:b/>
        </w:rPr>
        <w:t>E. 2</w:t>
      </w:r>
    </w:p>
    <w:p>
      <w:r>
        <w:t>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2014, n. 8 ad art. 319 CPP, p. 2476),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p. 2477). Conformément à l’art. 319 al. 1 let. d CPP, la procédure doit également être classée lorsqu’il est établi que certaines conditions à l’ouverture de l’action pénale ne peuvent pas être remplies ou que des empêchements de procéder sont apparus. Ces empêchements doivent être définitifs et il doit être certain que les conditions à l’ouverture de l’action pénale ne pourront jamais être remplies. On citera, à titre d’exemple, la mort du prévenu (TF 6B_471/2015 du 27 juillet 2015 consid. 3.2.1), le retrait de la plainte pénale, l’absence d’autorisation à poursuivre, l’amnistie, l’immunité absolue ou la prescription de l’action pénale (Dupuis</w:t>
      </w:r>
    </w:p>
    <w:p>
      <w:r>
        <w:t>- 4 - et al., Petit Commentaire du Code pénal, Bâle 2012, n. 16 ad art. 319 CPP et les références citées).</w:t>
      </w:r>
    </w:p>
    <w:p>
      <w:r>
        <w:rPr>
          <w:b/>
        </w:rPr>
        <w:t>E. 3</w:t>
      </w:r>
    </w:p>
    <w:p>
      <w:r>
        <w:t>Le recourant conteste le classement ordonné et confirme ainsi implicitement la plainte pénale qu’il a déposée en date du 5 octobre 2016 contre X.________.</w:t>
      </w:r>
    </w:p>
    <w:p>
      <w:r>
        <w:rPr>
          <w:b/>
        </w:rPr>
        <w:t>E. 3.1</w:t>
      </w:r>
    </w:p>
    <w:p>
      <w:r>
        <w:t>Aux termes de l'art. 137 CP,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ne seront pas réalisées (al. 1). Si l'auteur a trouvé la chose ou si celle-ci est tombée en son pouvoir indépendamment de sa volonté, s'il a agi sans dessein d'enrichissement ou si l'acte a été commis au préjudice des proches ou des familiers, l'infraction ne sera poursuivie que sur plainte (al. 2).</w:t>
      </w:r>
    </w:p>
    <w:p>
      <w:r>
        <w:rPr>
          <w:b/>
        </w:rPr>
        <w:t>E. 3.2</w:t>
      </w:r>
    </w:p>
    <w:p>
      <w:r>
        <w:t>Selon l’art. 33 al. 1 CP, l’ayant droit peut retirer sa plainte tant que le jugement de deuxième instance cantonale n’a pas été prononcé. Le Tribunal fédéral a estimé que la volonté interne de retirer la plainte ne suffisait pas et a exigé une manifestation de la volonté de retrait exprimée de manière non équivoque (ATF 89 IV 57 consid. 3a, JdT 1963 IV 66).</w:t>
      </w:r>
    </w:p>
    <w:p>
      <w:r>
        <w:rPr>
          <w:b/>
        </w:rPr>
        <w:t>E. 3.3</w:t>
      </w:r>
    </w:p>
    <w:p>
      <w:r>
        <w:t>En l’occurrence, au terme de l’audience de conciliation du 24 novembre 2016 devant le Procureur, le prévenu a simplement pris l’engagement d’organiser une séance et les parties ont convenu de tenir le procureur au courant du « résultat » de cette séance. Cette convention ne fait pas mention d’un retrait de plainte explicite sous certaines conditions. Partant, c’est à tort que, sur la seule base du courrier et des annexes envoyées le 22 décembre 2016 par le conseil du prévenu (P. 6), le Procureur est arrivé à la conclusion que « les conditions de retrait de plainte ont été satisfaites ». En l’état, il n’y a pas eu de retrait formel de la plainte et D.________ n’a jamais manifesté une telle volonté. Le raisonnement du Procureur ne résiste donc pas à l’examen et il lui</w:t>
      </w:r>
    </w:p>
    <w:p>
      <w:r>
        <w:t>- 5 - incombe de poursuivre l’instruction notamment sur la base des éléments produits par X.________.</w:t>
      </w:r>
    </w:p>
    <w:p>
      <w:r>
        <w:rPr>
          <w:b/>
        </w:rPr>
        <w:t>E. 4</w:t>
      </w:r>
    </w:p>
    <w:p>
      <w:r>
        <w:t>En définitive, le recours doit être admis, l'ordonnance de classement annulée et le dossier de la cause renvoyé au Procureur de l'arrondissement de l’Est vaudois afin qu'il procède dans le sens des considérants. Les frais de la procédure de recours, constitués en l'espèce du seul émolument d'arrêt, par 550 fr. (art. 20 al. 1 TFIP [Tarif des frais de procédure et indemnités en matière pénale du 28 septembre 2010; RSV 312.03.1]), seront mis à la charge de X.________ qui a conclu au rejet du recours et qui succombe (art. 428 al. 1 CPP). Par ces motifs, la Chambre des recours pénale prononce : I. Le recours est admis. II. L'ordonnance du 22 février 2017 est annulée et le dossier est renvoyé au Ministère public de l'arrondissement de l’Est vaudois pour qu’il procède dans le sens des considérants. III. Les frais d’arrêt, par 550 fr. (cinq cent cinquante francs), sont mis à la charge de X.________. IV. L’arrêt est exécutoire. Le président : La greffière : Du Le présent arrêt, dont la rédaction a été approuvée à huis clos, est notifié, par l'envoi d'une copie complète, à : - M. Robin Chappaz, avocat (pour X.________), - M. D.________, - Ministère public central,</w:t>
      </w:r>
    </w:p>
    <w:p>
      <w:r>
        <w:t>- 6 - et communiqué à : - M. le Procureur de l’arrondissement de l’Est vaudois, - Service de la population (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