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PE16.019975 vom 7. November 2018</w:t>
      </w:r>
    </w:p>
    <w:p>
      <w:r>
        <w:t>VD Tribunal cantonal, 2018-11-07, FR</w:t>
      </w:r>
    </w:p>
    <w:p>
      <w:r>
        <w:rPr>
          <w:b/>
        </w:rPr>
        <w:t xml:space="preserve">Quelle: </w:t>
      </w:r>
      <w:r>
        <w:t>https://mcp.opencaselaw.ch/entscheid/vd_gerichte_PE16.019975</w:t>
      </w:r>
    </w:p>
    <w:p>
      <w:r>
        <w:t>FR: VD_GERICHTE PE16.019975 du 7 novembre 2018</w:t>
      </w:r>
    </w:p>
    <w:p>
      <w:r>
        <w:t>IT: VD_GERICHTE PE16.019975 del 7 novembre 2018</w:t>
      </w:r>
    </w:p>
    <w:p>
      <w:pPr>
        <w:pStyle w:val="Heading2"/>
      </w:pPr>
      <w:r>
        <w:t>Erwägungen</w:t>
      </w:r>
    </w:p>
    <w:p>
      <w:r>
        <w:rPr>
          <w:b/>
        </w:rPr>
        <w:t>E. 10</w:t>
      </w:r>
    </w:p>
    <w:p>
      <w:r>
        <w:t>septembre 2018/689 consid. 2.3). B. a) Par courriers des 14 et 15 septembre 2018 à la présidente du tribunal d'arrondissement, C.________ a à nouveau reproché à son défenseur de ne pas agir de manière conforme à ses intérêts et a requis son remplacement en faveur d'un autre avocat. Il a également requis une prolongation du délai pour produire des pièces complémentaires au sens de l'art. 331 CPP et le report de l'audience fixée au 14 novembre 2018. b) Le 18 septembre 2018, la présidente du tribunal d'arrondissement a accordé une prolongation de délai au 3 octobre 2018 pour que C.________ présenter d'éventuelles réquisitions de preuves. Elle a</w:t>
      </w:r>
    </w:p>
    <w:p>
      <w:r>
        <w:t>- 3 - en revanche maintenu la date du 14 novembre 2018 pour l'audience de jugement. c) Par courrier du 20 septembre 2018, l'avocat D.________ a requis d'être immédiatement relevé de son mandat, estimant qu'au vu du recours déposé par C.________ contre l'ordonnance du 23 août 2018 précitée, le lien de confiance qui le liait à ce dernier était irrémédiablement rompu. d) Le 21 septembre 2018, la présidente du tribunal d'arrondissement a refusé de relever l'avocat D.________ de son mandat, indiquant que le simple fait que le client assisté n'a pas confiance dans son conseil d'office ne lui octroie pas le droit d'en demander le remplacement lorsque cette perte de confiance repose sur des motifs qui sont subjectifs. Elle a en outre indiqué que le recours déposé par C.________ contre sa décision du 23 août 2018 n'empêchait pas l'avocat de continuer à défendre efficacement les intérêts de ce dernier. Cette décision n'a pas fait l'objet d'un recours. e) Par avis des 3 et 9 octobre 2018, la présidente du tribunal d'arrondissement a accordé à C.________ un ultime délai au 10 octobre 2018 pour présenter d'éventuelles réquisitions de preuves au sens de l'art. 331 CPP mais a rejeté sa demande de report de l'audience du 14 octobre 2018 à une date ultérieure. f) Par courrier du 22 octobre 2018, l'avocat D.________ a sollicité – en prévision de l'audience de jugement du 14 novembre 2018 – que le dossier de la cause lui soit remis pour consultation en son étude pendant 48 heures. g) Le 23 octobre 2018, C.________ a écrit à la présidente du tribunal d'arrondissement pour réitérer ses requêtes tendant à la nomination d'un nouveau défenseur d'office en lieu et place de l'avocat D.________ et au report de l'audience du 14 novembre 2018.</w:t>
      </w:r>
    </w:p>
    <w:p>
      <w:r>
        <w:t>- 4 - h) Par décision du 24 octobre 2018 la présidente du tribunal d'arrondissement a confirmer son refus de nommer à C.________ un nouveau défenseur d'office, invitant ce dernier à collaborer avec l'avocat. Elle a au surplus maintenu la date des débats au 14 novembre 2018. C. Par courrier du 2 novembre 2018, C.________ a déposé un recours contre la décision précitée en concluant à sa réforme en ce sens qu'un nouveau défenseur d'office lui soit désigné en lieu et place de l'avocat D.________. Il n'a pas été ordonné d'échange d'écritures. En d roit : 1. Interjeté en temps utile (art. 396 CPP) contre une ordonnance en matière de révocation et de remplacement du défenseur d'office (CREP 16 février 2018/127 ; Harari/Aliberti, in : Kuhn/Jeanneret [éd.], Commentaire romand, Code de procédure pénale suisse, Bâle 2011, n. 25 ad art. 134 CPP), par le prévenu, qui a qualité pour recourir (art. 382 CPP ; Ruckstuhl, in : Niggli/Heer/Wiprächtiger [éd.], Basler Kommentar, Schweizerische Strafprozessordnung, Jugendstrafprozessordnung, 2e éd., Bâle 2014, n. 5 ad art. 133 CPP et les réf. citées), le recours est recevable. 2. Le recourant soutient que le rapport de confiance qui doit exister entre le client et son avocat n’existerait pas avec son défenseur d'office. A l'appui de ce moyen, il se réfère aux demandes réitérées qu'il a adressées à la présidente du tribunal d'arrondissement ainsi qu'au courrier du 20 septembre 2018 par lequel l'avocat D.________ avait demandé à être relevé de son mandat. 2.1 Aux termes de l’art. 134 al. 2 CPP, si la relation de confiance entre le prévenu et le défenseur d’office est gravement perturbée ou si</w:t>
      </w:r>
    </w:p>
    <w:p>
      <w:r>
        <w:t>- 5 -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w:t>
      </w:r>
    </w:p>
    <w:p>
      <w:r>
        <w:t>- 6 -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(TF 6B_286/2013 du</w:t>
      </w:r>
    </w:p>
    <w:p>
      <w:r>
        <w:rPr>
          <w:b/>
        </w:rPr>
        <w:t>E. 14</w:t>
      </w:r>
    </w:p>
    <w:p>
      <w:r>
        <w:t>novembre 2018. Ainsi, comme l’a retenu la présidente du tribunal d’arrondissement, les reproches du recourant ne sont pas fondés. Aucun élément ne permet au surplus de douter que le recourant bénéficie d’une défense efficace. La prétendue perte de confiance ne repose que sur des motifs subjectifs, lesquels ne sont pas suffisants pour obtenir le remplacement d’un avocat d’office. 3. En définitive, le recours, manifestement mal fondé, doit être rejeté, sans échange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24 octobre 2018 est confirmée. III. Les frais de la procédure de recours, par 770 fr. (sept cent septante francs), sont mis à la charge de C.________. IV. L’arrêt est exécutoire. Le président : La greffière :</w:t>
      </w:r>
    </w:p>
    <w:p>
      <w:r>
        <w:t>- 8 - Du Le présent arrêt, dont la rédaction a été approuvée à huis clos, est notifié, par l'envoi d'une copie complète, à : - M. C.________, - Me D.________, avocat (pour C.________), - Ministère public central, et communiqué à : - Mme la Présidente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