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PE16.019801 vom 8. November 2021</w:t>
      </w:r>
    </w:p>
    <w:p>
      <w:r>
        <w:t>VD Tribunal cantonal, 2021-11-08, FR</w:t>
      </w:r>
    </w:p>
    <w:p>
      <w:r>
        <w:rPr>
          <w:b/>
        </w:rPr>
        <w:t xml:space="preserve">Quelle: </w:t>
      </w:r>
      <w:r>
        <w:t>https://mcp.opencaselaw.ch/entscheid/vd_gerichte_PE16.019801</w:t>
      </w:r>
    </w:p>
    <w:p>
      <w:r>
        <w:t>FR: VD_GERICHTE PE16.019801 du 8 novembre 2021</w:t>
      </w:r>
    </w:p>
    <w:p>
      <w:r>
        <w:t>IT: VD_GERICHTE PE16.019801 del 8 novembre 2021</w:t>
      </w:r>
    </w:p>
    <w:p>
      <w:pPr>
        <w:pStyle w:val="Heading2"/>
      </w:pPr>
      <w:r>
        <w:t>Erwägungen</w:t>
      </w:r>
    </w:p>
    <w:p>
      <w:r>
        <w:rPr>
          <w:b/>
        </w:rPr>
        <w:t>E. 3.1</w:t>
      </w:r>
    </w:p>
    <w:p>
      <w:r>
        <w:t>Les recourants reprochent au Ministère public d’avoir constaté les faits de manière lacunaire, soit de ne pas avoir tenu compte des plaintes pénales déposées à leur encontre par les prévenus, des circonstances ayant mené à la demande de réduction de loyer, des circonstances ayant mené aux résiliations de bail, de la procédure visant à constater la nullité des congés et des circonstances entourant la plainte pénale qu’ils ont déposée.</w:t>
      </w:r>
    </w:p>
    <w:p>
      <w:r>
        <w:rPr>
          <w:b/>
        </w:rPr>
        <w:t>E. 3.2</w:t>
      </w:r>
    </w:p>
    <w:p>
      <w:r>
        <w:t>Le recours peut être formé pour constatation incomplète ou erronée des faits (art. 393 al. 2 let. b CPP). La constatation des faits est incomplète lorsque des faits pourtant pertinents et évoqués par les parties</w:t>
      </w:r>
    </w:p>
    <w:p>
      <w:r>
        <w:t>- 12 - ne figurent pas au dossier (Moreillon/Parein-Reymond, Petit commentaire du Code de procédure pénale, 2e éd., Bâle 2016, n. 31 ad art. 393 CPP). Cette disposition impose à l'autorité de recours de substituer sa propre appréciation des preuves à celle de l'autorité précédente, respectivement d'établir elle-même les faits pertinents (Sträuli, Commentaire romand, Code de procédure pénale suisse, 2e éd., Bâle 2019, nn. 79-80 ad art. 393 CPP).</w:t>
      </w:r>
    </w:p>
    <w:p>
      <w:r>
        <w:rPr>
          <w:b/>
        </w:rPr>
        <w:t>E. 3.3</w:t>
      </w:r>
    </w:p>
    <w:p>
      <w:r>
        <w:t>En l’espèce, sous le titre « Faits reprochés », le Ministère public a indiqué les motifs pour lesquels les recourants avaient déposé des plaintes pénales, et, dans la partie « Motivation », il a exposé les faits utiles à la compréhension de la cause et à la subsomption juridique. Les recourants n’expliquent pas quels faits pertinents et pourtant évoqués par les parties manqueraient. Pour le reste, le dossier contient de nombreuses pièces permettant de comprendre à quel point les relations entre les parties sont conflictuelles depuis plus de dix ans et pour quelles raisons les recourants ont déposé une plainte pénale, de sorte que c’est en parfaite connaissance de cause que la Procureure, en charge du dossier depuis plusieurs années, a rendu l’ordonnance querellée. Le grief des recourants est par conséquent infondé.</w:t>
      </w:r>
    </w:p>
    <w:p>
      <w:r>
        <w:rPr>
          <w:b/>
        </w:rPr>
        <w:t>E. 4.1</w:t>
      </w:r>
    </w:p>
    <w:p>
      <w:r>
        <w:t>En citant plusieurs extraits de la réponse de la bailleresse du 3 mai 2019 adressée à la Cour d’appel civile du Tribunal cantonal, les recourants invoquent que ce n’est pas en lisant isolément chacun d’eux qu’il faut déterminer si l’atteinte à l’honneur peut être retenue, mais en examinant ces attaques dans leur ensemble. Ils estiment que ces propos sont diffamatoires voire calomnieux et qu’ils n’ont pas été formulés en restant dans le cadre de ce qui peut être considéré comme nécessaire et pertinent dans une procédure judiciaire. S’agissant de l’inscription au registre CRIF, les recourants font valoir que l’arrêt du Tribunal fédéral cité par le Ministère public n’a pas la portée que celui-ci lui prête, puisque cet arrêt n’exclut pas que, selon les circonstances, une ou plusieurs poursuites puissent flétrir la réputation de bonne moralité du débiteur présumé.</w:t>
      </w:r>
    </w:p>
    <w:p>
      <w:r>
        <w:t>- 13 - Partant, ils considèrent que cette inscription est également diffamatoire voire calomnieuse.</w:t>
      </w:r>
    </w:p>
    <w:p>
      <w:r>
        <w:rPr>
          <w:b/>
        </w:rPr>
        <w:t>E. 4.2</w:t>
      </w:r>
    </w:p>
    <w:p>
      <w:r>
        <w:t>Se rend coupable de diffamation au sens de l’art. 173 al. 1 CP et sera puni d’une peine pécuniaire, celui qui, en s'adressant à un tiers, aura accusé une personne ou jeté sur elle le soupçon de tenir une conduite contraire à l'honneur, ou de tout autre fait propre à porter atteinte à sa considération, ou celui qui aura propagé une telle accusation ou un tel soupçon. La calomnie (art. 174 CP) est une forme qualifiée de diffamation, dont elle se distingue en ceci que les allégations attentatoires à l'honneur sont fausses et que l'auteur connaissait la fausseté de ses allégations. Les preuves libératoires de la vérité ou de la bonne foi n'ont donc pas de sens dans ce cadre (Dupuis et alii, Petit commentaire du Code pénal, 2e éd., Bâle 2017, n. 1 ad art. 174 CP). Ces dispositions protègent la réputation d'être un individu honorable, c’est-à-dire de se comporter comme une personne digne a coutume de le faire selon les conceptions généralement reçues. Il faut donc que l'atteinte fasse apparaître la personne visée comme méprisable (ATF 137 IV 313 consid. 2.2.1 ; ATF 117 IV 27 consid. 2c). L'honneur protégé par le droit pénal est conçu de façon générale comme un droit au respect, qui est lésé par toute assertion propre à exposer la personne visée au mépris en sa qualité d’être humain (ATF 132 IV 112 consid. 2.1).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119 IV 44 consid. 2a ; ATF 117 IV 27 consid. 2c). S'agissant d'un texte, il doit être analysé non seulement en fonction des expressions utilisées, prises séparément, mais aussi selon le sens général qui se dégage du texte dans son ensemble (ATF 137 IV 313 consid 2.1.3). Pour qu'il y ait diffamation, il n'est pas nécessaire que l'auteur ait affirmé des faits qui rendent méprisable la personne visée ; il suffit qu'il ait jeté sur elle le soupçon d'avoir eu un comportement contraire aux règles de l'honneur ou qu'il</w:t>
      </w:r>
    </w:p>
    <w:p>
      <w:r>
        <w:t>- 14 - propage – même en citant sa source ou en affirmant ne pas y croire – de telles accusations ou de tels soupçons (ATF 117 IV 27 consid. 2c). Du point de vue subjectif, il suffit que l'auteur ait eu conscience du caractère attentatoire à l'honneur de ses propos et qu'il les ait néanmoins proférés ; il n'est pas nécessaire qu'il ait eu la volonté de blesser la personne visée (ATF 137 IV 313 consid. 2.1.6 ; TF 6B_974/2018 du 20 décembre 2018 consid. 2.2). Des déclarations objectivement attentatoires à l'honneur peuvent être justifiées par le devoir d'alléguer des faits dans le cadre d'une procédure judiciaire (ATF 118 IV 248 consid. 2b ; TF 6S.752/2000 du</w:t>
      </w:r>
    </w:p>
    <w:p>
      <w:r>
        <w:rPr>
          <w:b/>
        </w:rPr>
        <w:t>E. 4.3</w:t>
      </w:r>
    </w:p>
    <w:p>
      <w:r>
        <w:t>En l’espèce, le litige entre les parties a débuté il y a plus de dix ans, lorsque la bailleresse a résilié le bail à loyer des recourants en raison des futurs travaux de rénovation et que ces derniers ont contesté cette résiliation. Le litige a pris des proportions tentaculaires que rien ne semble pouvoir apaiser. C’est dans ce contexte que la bailleresse a adressé sa réponse du 3 mai 2019 à la Cour d’appel civile du Tribunal cantonal, concernant la demande de réduction de loyer des recourants pour les nuisances liées aux travaux, laquelle a par ailleurs été rejetée puisque la convention du 17 janvier 2012 indiquait clairement que les recourants renonçaient à toute prétention pour les désagréments qui seraient générés par les travaux (P. 28/1, pp. 20-21).</w:t>
      </w:r>
    </w:p>
    <w:p>
      <w:r>
        <w:t>- 15 - Analysés séparément, aucun des propos cités par les recourants n’est attentatoires à l’honneur. En effet, il n’est ni diffamatoire ni calomnieux de reprocher à une partie d’agir avec témérité ou quérulence, de faire preuve de mauvaise foi crasse, de tenter de déformer les faits en sa faveur, de tordre de manière flagrante les preuves administrées ou encore de faire fi de la réalité ou des preuves. Dire que l’on va éviter d’amener le débat à la hauteur de l’autre partie et que l’autorité n’est pas dupe ne l’est pas non plus. Considérer que les attaques des recourants manquent de finesse ou de perspicacité ou que leurs arguments sont alambiqués, confus, absurdes, désorganisés, redondants, non pertinents ou contradictoires l’est encore moins. Tous ces termes ne font pas de X.________ quelqu’un de méprisable. En outre, même en examinant tous les passages dénoncés dans leur ensemble comme le suggèrent les recourants, on ne distingue toujours pas un comportement attentatoire à l’honneur. Bien au contraire, puisqu’il est manifeste que ce n’est pas la propre personne de X.________ qui est critiquée, mais bel et bien sa posture dans le cadre d’une procédure civile qui dure depuis plusieurs années. Enfin, ces propos litigieux ne s'adressaient qu’à la Cour d’appel civile du Tribunal cantonal, qui était à même de faire la part des choses. C’est donc à juste titre que le Ministère public a retenu que les éléments constitutifs des infractions de diffamation et calomnie n’étaient pas réalisés. S’agissant de l’inscription de X.________ comme mauvais payeur au registre CRIF, les recourants font valoir que, dans son arrêt 6S.853/2000 du 9 mai 2001, le Tribunal fédéral a également indiqué qu’« il n'est pas exclu que, selon les circonstances, une ou plusieurs poursuites puissent flétrir la réputation de bonne moralité du débiteur présumé » (consid. 3b in fine). Or, les recourants ne motivent pas plus cet argument, respectivement n’indiquent pas en quoi et au vu de quelles circonstances cette jurisprudence leur serait applicable. Cet argument ne remplit pas l’exigence de motivation de l’art. 385 al. 1 let. b CPP, à savoir que la partie recourante doit exposer les arguments, de fait ou de droit, sur lesquels elle prétend se fonder pour faire modifier la décision en sa faveur (TF 6B_510/2020 du 15 septembre 2020 consid. 2.2 et les références ;</w:t>
      </w:r>
    </w:p>
    <w:p>
      <w:r>
        <w:t>- 16 - Pitteloud, Code de procédure pénale suisse, Commentaire à l’usage des praticiens, 2012, n. 1126 ; Lieber, Kommentar zur Schweizerischen Strafprozessordnung, 2e éd., 2014, n. 2 ad art. 385 CPP). Le moyen des recourants est par conséquent irrecevable. 5. 5.1 Les recourants se prévalent des six commandements de payer qui leur ont été adressés par V.________SA pour justifier la réalisation de l’infraction de tentative de contrainte. Ils soutiennent que la bailleresse n’a jamais introduit d’action civile pour faire reconnaître ces créances et que ce n’est pas pour interrompre la prescription que les prévenus ont déposé des réquisitions de poursuite, mais pour leur porter préjudice et les contraindre à renoncer à faire valoir leurs droits en tant que locataires. En outre, le commandement de payer du 4 janvier 2021 indiquait un montant exorbitant et il apparaissait très peu vraisemblable qu’une telle somme soit fondée. 5.2 Se rend coupable de contrainte selon l’art. 181 CP et sera puni d’une peine privative de liberté de trois ans au plus ou d’une peine pécuniaire, celui qui, en usant de violence envers une personne ou en la menaçant d’un dommage sérieux, ou en l’entravant de quelque manière dans sa liberté d’action, l’aura obligée à faire, ne pas faire ou à laisser faire un acte. Le bien juridique protégé par cette disposition est la liberté d’action, plus particulièrement la libre formation et le libre exercice de la volonté (ATF 141 IV 1 consid. 3.3.1 et les références).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105 IV 120 consid. 2a). La loi exige un dommage sérieux, c’est-à-dire que la perspective de l’inconvénient présenté comme</w:t>
      </w:r>
    </w:p>
    <w:p>
      <w:r>
        <w:t>- 17 - dépendant de la volonté de l’auteur soit propre à entraver le destinataire dans sa liberté de décision et d’action (ATF 120 IV 17 consid. 2a/aa). La question doit être tranchée en fonction de critères objectifs, en se plaçant du point de vue d’une personne de sensibilité moyenne (ATF 122 IV 322 consid. 1a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précité ; ATF 137 IV 326 précité ; TF 6B_153/2017 du 28 novembre 2017 consid. 3.1). Sur le plan subjectif, il faut que l'auteur ait agi intentionnellement, c'est-à-dire qu'il ait voulu contraindre la victime à adopter le comportement visé en étant conscient de l'illicéité de son comportement ; le dol éventuel suffit (ATF 120 IV 17 précité consid. 2c). Pour une personne de sensibilité moyenne, faire l'objet d'un commandement de payer d'une importante somme d'argent est, à l'instar d'une plainte pénale, une source de tourments et de poids psychologique, en raison des inconvénients découlant de la procédure de poursuite elle- même et de la perspective de devoir peut-être payer le montant en</w:t>
      </w:r>
    </w:p>
    <w:p>
      <w:r>
        <w:t>- 18 - question. Un tel commandement de payer est ainsi propre à inciter une personne de sensibilité moyenne à céder à la pression subie, cas échéant, donc à l'entraver d'une manière substantielle dans sa liberté de décision ou d'action (ATF 120 IV 17 consid. 2 aa ; ATF 96 IV 58 consid. 3). Certes, faire notifier un commandement de payer lorsqu'on est fondé à réclamer une telle somme est licite. En revanche, utiliser un tel procédé comme moyen de pression pour dissuader la personne visée d'agir correctement, par exemple dans sa profession, est clairement abusif, donc illicite (ATF 115 III 18 consid. 3 et SJ 1987 pp. 156 ss). Il est donc concevable qu'une tentative de contrainte soit réalisée lorsqu'un commandement de payer d'un montant important est notifié, que le poursuivi allègue que la créance est manifestement inexistante et que le procédé a pour but de pousser le poursuivi à adopter un certain comportement (au sujet de la contrainte susceptible d'être réalisée par un commandement de payer, cf. TF 6B_1086/2015 du 3 juin 2016 ; TF 6B_447/2014 du 30 octobre 2014 ; TF 6B_281/2013 du 16 juillet 2013 ; TF 6S.853/2000 du 9 mai 2001 ; TF 6S.874/1996 du 26 février 1997). 5.3 En l’espèce, entre 2017 et 2021, les prévenus ont fait notifier aux recourants cinq commandements de payer la somme de 6'000 fr., dont le titre de la créance était « Dommages causés aux escaliers de l’immeuble sis parcelle no [...] de la Commune de [...]» (années 2017, 2018, 2019 et 2021), et un commandement de payer la somme de 6'000 fr., dont le titre de la créance était « Dommages causés aux escaliers de l’immeuble sis parcelle no [...] de la Commune de [...] – Interruption de prescription selon art. 135 CO » (année 2020). Les recourants savaient que ces cinq commandements de payer leur étaient notifiés à des fins interruptives de prescription au sens de l’art. 135 CO. Cela ressort en effet des lettres que la bailleresse leur a adressées le 16 mai 2017 et le 17 octobre 2019 (P. 33/1 à 33/3). Les recourants savaient également que si la bailleresse leur avait envoyé ces commandements de payer successifs, c’était uniquement parce que X.________ refusait de signer à titre personnel les déclarations de renonciation à se prévaloir de la prescription (P. 32 et 33/3). Dans ces</w:t>
      </w:r>
    </w:p>
    <w:p>
      <w:r>
        <w:t>- 19 - conditions, on ne saurait retenir qu’en faisant notifier des commandements de payer dans le seul but d’interrompre la prescription, les prévenus ont voulu entraver les recourants de quelque manière que ce soit dans leur liberté d’action ou aient cherché à les contraindre à faire ou ne pas faire quoi que ce soit. Le commandement de payer du 4 janvier 2021 concernait certes un montant très élevé (500'000 fr.), mais les prévenus ont expliqué aux recourants que cet acte avait été envoyé pour le seul motif que W.________Sàrl n’avait pas signé et renvoyé la déclaration de renonciation à la prescription à la bailleresse au 31 décembre 2020 (P. 42/2, P. 44/5, courriel du 31 décembre 2020 de Me Alain Amstutz). La véracité du but de la notification de ce commandement de payer est établie, puisque les prévenus ont adressé un contrordre à l’Office des poursuites en date du 4 janvier 2021 par lettre et par courriel, lorsqu’ils ont reçu la déclaration signée par W.________Sàrl (P. 42/4, P. 42/5 ; P. 44/5). En outre, il convient de rappeler l’important contexte litigieux qui dure depuis plus de dix ans, de sorte que la notification d’un tel commandement de payer n’apparaît pas disproportionnée. C’est donc par un moyen conforme au droit et pour atteindre un but légitime que les prévenus ont cherché à sauvegarder leurs droits. Dans ce cas non plus, on ne saurait considérer que les prévenus ont voulu nuire aux recourants. Vu ce qui précède, c’est à bon droit que le Ministère public a retenu que les éléments constitutifs de l’infraction de tentative de contrainte, en particulier l’élément subjectif, n’étaient pas réalisés.</w:t>
      </w:r>
    </w:p>
    <w:p>
      <w:r>
        <w:rPr>
          <w:b/>
        </w:rPr>
        <w:t>E. 6</w:t>
      </w:r>
    </w:p>
    <w:p>
      <w:r>
        <w:t>décembre 2000 consid. 2c). Tant la partie que son avocat peuvent se prévaloir de l'art. 14 CP à condition de s'être exprimés de bonne foi, de s'être limités à ce qui est nécessaire et pertinent et d'avoir présenté comme telles de simples suppositions (ATF 131 IV 154 consid. 1.3.1). Dans un tel contexte, une atteinte à l'honneur ne doit être admise que restrictivement, surtout si les propos litigieux ne s'adressent qu'aux membres d'une autorité judiciaire, qui sont à même de faire la part des choses (Favre/Pellet/Stoudmann, Code pénal annoté, 3e éd. révisée, Lausanne 2007/2011, n. 1.14 ad art. 173 CP ; CAPE 16 juin 2020/231 consid. 3.1.2 ; CAPE 23 juillet 2019/246 consid. 3.9.2.1).</w:t>
      </w:r>
    </w:p>
    <w:p>
      <w:r>
        <w:rPr>
          <w:b/>
        </w:rPr>
        <w:t>E. 6.1</w:t>
      </w:r>
    </w:p>
    <w:p>
      <w:r>
        <w:t>Les recourants exposent qu’ils ont dû déposer une plainte pénale contre les prévenus en raison de leurs manquements graves en tant que bailleurs et des nombreux commandements de payer notifiés sans fondement économique et à des fins d’intimidation. Vu ce comportement civilement répréhensible, ils considèrent que les frais judiciaires devraient être mis à la charge des prévenus en application de l’art. 426 al. 2 CPP.</w:t>
      </w:r>
    </w:p>
    <w:p>
      <w:r>
        <w:t>- 20 -</w:t>
      </w:r>
    </w:p>
    <w:p>
      <w:r>
        <w:rPr>
          <w:b/>
        </w:rPr>
        <w:t>E. 6.2</w:t>
      </w:r>
    </w:p>
    <w:p>
      <w:r>
        <w:t>Selon l’art. 426 al. 2 CP,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rPr>
          <w:b/>
        </w:rPr>
        <w:t>E. 6.3</w:t>
      </w:r>
    </w:p>
    <w:p>
      <w:r>
        <w:t>En l’espèce, on peine à saisir le raisonnement des recourants dans la mesure où l’art. 426 al. 2 CPP ne s’applique que lorsqu’une ordonnance de classement est rendue ou que le prévenu est acquitté, alors qu’ils prennent des conclusions inverses en ce sens que les prévenus soient condamnés. Les recourants admettent de plus qu’ils ne disposent pas de la légitimation active pour requérir une telle répartition des frais, ce qui est exact. Le moyen des recourants est par conséquent irrecevable.</w:t>
      </w:r>
    </w:p>
    <w:p>
      <w:r>
        <w:rPr>
          <w:b/>
        </w:rPr>
        <w:t>E. 7</w:t>
      </w:r>
    </w:p>
    <w:p>
      <w:r>
        <w:t>Il résulte de ce qui précède que le recours, manifestement mal fondé, doit être rejeté sans échange d’écritures (art. 390 al. 2 CPP), dans la mesure de sa recevabilité, et l’ordonnance entreprise confirmée. Les frais de la procédure de recours, par 1'980 fr. (art. 20 al. 1 TFIP [tarif des frais de procédure et indemnités en matière pénale du 28 septembre 2010 ; BLV 312.03.1]), seront mis à la charge des recourants, qui succombent (art. 428 al. 1 CPP), à parts égales et solidairement entre eux (art. 418 al. 1 et 2 CPP). Par ces motifs, la Chambre des recours pénale prononce : I. Le recours est rejeté dans la mesure où il est recevable. II. L’ordonnance du 5 octobre 2021 est confirmée. III. Les frais d’arrêt, par 1'980 fr. (mille neuf cent huitante francs), sont mis à la charge de W.________Sàrl et X.________, à parts égales et solidairement entre eux. IV. L’arrêt est exécutoire.</w:t>
      </w:r>
    </w:p>
    <w:p>
      <w:r>
        <w:t>- 21 - Le président : La greffière : Du Le présent arrêt, dont la rédaction a été approuvée à huis clos, est notifié, par l'envoi d'une copie complète, à : - Me Pierluca Degni, avocat (pour X.________), - Ministère public central, et communiqué à : - Mme la Procureure du Ministère public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