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PE16.019674 vom 9. November 2016</w:t>
      </w:r>
    </w:p>
    <w:p>
      <w:r>
        <w:t>VD Tribunal cantonal, 2016-11-09, FR</w:t>
      </w:r>
    </w:p>
    <w:p>
      <w:r>
        <w:rPr>
          <w:b/>
        </w:rPr>
        <w:t xml:space="preserve">Quelle: </w:t>
      </w:r>
      <w:r>
        <w:t>https://mcp.opencaselaw.ch/entscheid/vd_gerichte_PE16.019674</w:t>
      </w:r>
    </w:p>
    <w:p>
      <w:r>
        <w:t>FR: VD_GERICHTE PE16.019674 du 9 novembre 2016</w:t>
      </w:r>
    </w:p>
    <w:p>
      <w:r>
        <w:t>IT: VD_GERICHTE PE16.019674 del 9 novembre 2016</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X.________ à l’encontre du Procureur B.________ (art. 13</w:t>
      </w:r>
    </w:p>
    <w:p>
      <w:r>
        <w:t>- 3 - LVCPP [Loi vaudoise du 19 mai 2009 d’introduction du code de procédure pénale suisse;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En particulier, le fait que le magistrat dont la récusation est demandée par un prévenu ait, par le passé, condamné le requérant dans une autre procédure ne constitue pas en lui-même un indice de prévention et, partant, un motif de récusation, s’agissant même d’un état de fait plus ou moins semblable</w:t>
      </w:r>
    </w:p>
    <w:p>
      <w:r>
        <w:t>- 4 - (RJB 1992 pp. 412 s.). La nouvelle saisine du même magistrat ne contrevient pas à l’exigence de la séparation personnelle du juge du renvoi et du juge du fond (ATF 114 Ia 50 spéc. consid. 4).</w:t>
      </w:r>
    </w:p>
    <w:p>
      <w:r>
        <w:rPr>
          <w:b/>
        </w:rPr>
        <w:t>E. 2.2</w:t>
      </w:r>
    </w:p>
    <w:p>
      <w:r>
        <w:t>En l’espèce, le requérant ne mentionne aucun fait objectif qui serait de nature à établir un indice ou une apparence de prévention en sa défaveur. Le fait que le magistrat dont la récusation est demandée ait, par le passé, statué en défaveur du requérant, en rendant deux ordonnances pénales à son encontre, ne constitue pas un indice de prévention, comme cela ressort de la jurisprudence résumée ci-dessus. Il en va de même de l’allégation non étayée selon laquelle le Procureur ne respecterait pas l’art. 123 CP, qui réprime les lésions corporelles simples. Il n’y a dès lors ni prévention, ni même apparence de prévention, qui pourrait donner lieu à récusation.</w:t>
      </w:r>
    </w:p>
    <w:p>
      <w:r>
        <w:rPr>
          <w:b/>
        </w:rPr>
        <w:t>E. 3</w:t>
      </w:r>
    </w:p>
    <w:p>
      <w:r>
        <w:t>Il résulte de ce qui précède que la demande de récusation présentée le 2 novembre 2016 par X.________ à l’encontre du Procureur B.________ doit être rejetée. Les frais de procédure, constitués en l’espèce du seul émolument de décision, par 440 fr. (art. 20 al. 1 TFIP [Tarif des frais de procédure et indemnités en matière pénale du 28 septembre 2010; RSV 312.03.1]), seront mis à la charge du requérant, dont la demande est rejetée (art. 59 al. 4, seconde phrase, CPP).</w:t>
      </w:r>
    </w:p>
    <w:p>
      <w:r>
        <w:t>- 5 - Par ces motifs, la Chambre des recours pénale prononce : I. La demande de récusation présentée le 2 novembre 2016 par X.________ contre le Procureur B.________ est rejetée. II. Les frais de la décision, par 440 fr. (quatre cent quarante francs), sont mis à la charge de X.________. III. La décision est exécutoire. Le président : La greffière : Du Le présent arrêt, dont la rédaction a été approuvée à huis clos, est notifié, par l'envoi d'une copie complète, à : - M. X.________, - Ministère public central, et communiqué à : - M. le Procureur de l’arrondissement du Nord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