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PE16.019608 vom 9. November 2016</w:t>
      </w:r>
    </w:p>
    <w:p>
      <w:r>
        <w:t>VD Tribunal cantonal, 2016-11-09, FR</w:t>
      </w:r>
    </w:p>
    <w:p>
      <w:r>
        <w:rPr>
          <w:b/>
        </w:rPr>
        <w:t xml:space="preserve">Quelle: </w:t>
      </w:r>
      <w:r>
        <w:t>https://mcp.opencaselaw.ch/entscheid/vd_gerichte_PE16.019608</w:t>
      </w:r>
    </w:p>
    <w:p>
      <w:r>
        <w:t>FR: VD_GERICHTE PE16.019608 du 9 novembre 2016</w:t>
      </w:r>
    </w:p>
    <w:p>
      <w:r>
        <w:t>IT: VD_GERICHTE PE16.019608 del 9 novembre 2016</w:t>
      </w:r>
    </w:p>
    <w:p>
      <w:pPr>
        <w:pStyle w:val="Heading2"/>
      </w:pPr>
      <w:r>
        <w:t>Erwägungen</w:t>
      </w:r>
    </w:p>
    <w:p>
      <w:r>
        <w:rPr>
          <w:b/>
        </w:rPr>
        <w:t>E. 1</w:t>
      </w:r>
    </w:p>
    <w:p>
      <w:r>
        <w:t>Les parties peuvent attaquer une ordonnance de non- 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w:t>
      </w:r>
    </w:p>
    <w:p>
      <w:r>
        <w:t>- 4 -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Selon l'art. 173 ch. 1 CP, se rend coupable de diffamation notamment celui qui, en s'adressant à un tiers, aura accusé une personne ou jeté sur elle le soupçon de tenir une conduite contraire à l'honneur, ou de tout autre fait propre à porter atteinte à sa considération. Se rend coupable de calomnie au sens de l’art. 174 ch. 1 CP notamment celui qui, connaissant la fausseté de ses allégations, aura, en s'adres-sant à un tiers, accusé une personne ou jeté sur elle le soupçon de tenir une conduite contraire à l'honneur, ou de tout autre fait propre à porter atteinte à sa considération.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3ème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w:t>
      </w:r>
    </w:p>
    <w:p>
      <w:r>
        <w:t>- 5 - 132 IV 112 consid. 2.1; ATF 128 IV 53 consid. 1a p. 57 ss.). L'atteinte à l'honneur pénalement réprimée doit ainsi faire apparaître la personne visée comme méprisable (ATF 137 IV 313 c. 2.1.1; ATF 133 IV 308 c. 8.5.1). Il ne suffit pas d'abaisser une personne dans la bonne opinion qu'elle a d'elle-même ou dans les qualités qu'elle croit avoir.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surtout si les propos litigieux ne s’adressent qu’aux membres d’une autorité judiciaire, qui sont à même de faire la part des choses (Favre/Pellet/Stoudmann, Code pénal annoté, 3ème éd., Lausanne 2007, n. 1.14 ad art. 173 CP; cf. ég. Dupuis et alii, Petit Commentaire du Code pénal, Bâle 2012, nn. 51-52 ad art. 173 CP).</w:t>
      </w:r>
    </w:p>
    <w:p>
      <w:r>
        <w:rPr>
          <w:b/>
        </w:rPr>
        <w:t>E. 3.2</w:t>
      </w:r>
    </w:p>
    <w:p>
      <w:r>
        <w:t>En l’espèce, il faut admettre que certaines allégations contenues dans l'écriture du 18 juillet 2016 sont attentatoires à l'honneur du recourant, en particulier celles selon lesquelles H.________ aurait eu à l'égard de son épouse "des attitudes violentes" et qu'il lui aurait "imposé des rapports sexuels" alors qu'elle était enceinte. L'intimée décrit ainsi non seulement des comportements moralement réprouvés, mais également pénalement répréhensibles. Certes, il faut être plus tolérant lorsque les propos sont allégués dans un contexte judiciaire, spécialement s’agissant d’un litige d’ordre conjugal. Toutefois, les allégations de B.________ relèvent d'une certaine gravité et, à défaut de connaître le contexte dans lequel ces accusations ont été proférées, il y a lieu de considérer que les propos tenus dépassent les limites de l’admissible pour des allégations en justice, de sorte que, l’atteinte à l’honneur paraissant</w:t>
      </w:r>
    </w:p>
    <w:p>
      <w:r>
        <w:t>- 6 - réalisée à tout le moins sur le plan objectif, une instruction pour calomnie ou diffamation doit être ouverte.</w:t>
      </w:r>
    </w:p>
    <w:p>
      <w:r>
        <w:rPr>
          <w:b/>
        </w:rPr>
        <w:t>E. 4</w:t>
      </w:r>
    </w:p>
    <w:p>
      <w:r>
        <w:t>Le recours de H.________ doit donc être admis et le dossier de la cause renvoyé au Ministère public de l’arrondissement de Lausanne pour qu’il procède dans le sens des considérants. Le recourant,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elle sera fixée à 900 fr. (3 heures à 300 fr.; art. 26a al. 3 TFIP [Tarif des frais de procédure et indemnités en matière pénale du 28 septembre 2010; RSV 312.03.1]), plus la TVA, par 72 fr., soit 972 fr. au total, à la charge de l'Etat. Les frais de la procédure de recours, constitués en l'espèce de l'émolument d'arrêt, par 660 fr. (art. 422 al. 1 CPP et 20 al. 1 TFIP), seront laissés à la charge de l'Etat (art. 423 al. 1 CPP). Par ces motifs, la Chambre des recours pénale prononce : I. Le recours est admis. II. L’ordonnance du 11 octobre 2016 est annulée. III. Le dossier de la cause est renvoyé au Ministère public de l’arrondisse-ment de Lausanne pour qu’il procède dans le sens des considérants. IV. Une indemnité de 972 fr. (neuf cent septante-deux francs) est allouée à H.________ pour la procédure de recours, à la charge de l’Etat.</w:t>
      </w:r>
    </w:p>
    <w:p>
      <w:r>
        <w:t>- 7 - V. Les frais d’arrêt, par 660 fr. (six cent soixante francs), sont laissés à la charge de l’Etat VI. L’arrêt est exécutoire. Le président : La greffière : Du Le présent arrêt, dont la rédaction a été approuvée à huis clos, est notifié, par l'envoi d'une copie complète, à : - M. Marcel Waser,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