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PE16.019465 vom 27. April 2017</w:t>
      </w:r>
    </w:p>
    <w:p>
      <w:r>
        <w:t>VD Tribunal cantonal, 2017-04-27, FR</w:t>
      </w:r>
    </w:p>
    <w:p>
      <w:r>
        <w:rPr>
          <w:b/>
        </w:rPr>
        <w:t xml:space="preserve">Quelle: </w:t>
      </w:r>
      <w:r>
        <w:t>https://mcp.opencaselaw.ch/entscheid/vd_gerichte_PE16.019465</w:t>
      </w:r>
    </w:p>
    <w:p>
      <w:r>
        <w:t>FR: VD_GERICHTE PE16.019465 du 27 avril 2017</w:t>
      </w:r>
    </w:p>
    <w:p>
      <w:r>
        <w:t>IT: VD_GERICHTE PE16.019465 del 27 aprile 2017</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de lever un séquestre (art. 263 CPP) est ainsi susceptible de recours selon les art. 393 ss CPP (Bommer/Goldschmid, in : Niggli/Heer/Wiprächtiger [éd.], Basler Kommentar, Schweizerische Strafprozessordnung, Jugendstrafprozessordnung, 2e éd., Bâle 2014, n. 66 ad art. 263 CPP; CREP 13 juin 2016/394).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dans le délai légal auprès de l’autorité compétente par le prévenu, qui a qualité pour recourir (art.</w:t>
      </w:r>
    </w:p>
    <w:p>
      <w:r>
        <w:t>- 4 - 382 al. 1 CPP), et dans les formes prescrites (art. 385 al. 1 CPP), de sorte qu’il est recevable.</w:t>
      </w:r>
    </w:p>
    <w:p>
      <w:r>
        <w:rPr>
          <w:b/>
        </w:rPr>
        <w:t>E. 2.1</w:t>
      </w:r>
    </w:p>
    <w:p>
      <w:r>
        <w:t>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Petit commentaire du Code de procédure pénale, 2e éd. 2016,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Selon la systématique du CPP, seul le séquestre en couverture des frais impose de prendre en compte le revenu et la fortune du prévenu (art. 268 al. 2 CPP) et d’exclure du séquestre les valeurs insaisissables selon les art. 92 à 94 LP (art. 268 al. 3 CPP). Un tel examen s’impose car cette mesure tend exclusivement à la sauvegarde des intérêts publics, soit à garantir le recouvrement de la future dette de droit public du prévenu (ATF 141 IV 360 consid. 3.1; ATF 119 Ia 453 consid. 4d; TF 1B_274/2012 du 11 juillet 2012 consid. 3). Elle peut, de plus, porter sur tous les biens et valeurs du prévenu, même ceux qui n’ont pas de lien de connexité avec l’infraction (ATF 141 IV 360 consid. 3.1; TF 1B_136/2014 du 14 mai 2014 consid. 2.1; TF 1B_274/2012 du 11 juillet 2012 consid. 3.1). Il se justifie donc, sous l’angle du principe de la proportionnalité (art. 197 al. 1 let. c et d CPP), de respecter le minimum vital de la personne touchée par ce type de séquestre</w:t>
      </w:r>
    </w:p>
    <w:p>
      <w:r>
        <w:t>- 5 - (ATF 141 IV 360 consid. 3.1; TF 1B_136/2014 du 14 mai 2014 consid. 2.1; TF 1P.21/2007 du 2 mai 2007 consid. 4). Le respect du minimum vital est aussi la conséquence du droit fondamental à des conditions minimales d’existence ancré à l’art. 12 Cst. (Constitution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ATF 139 I 272 consid. 3.2).</w:t>
      </w:r>
    </w:p>
    <w:p>
      <w:r>
        <w:rPr>
          <w:b/>
        </w:rPr>
        <w:t>E. 2.2</w:t>
      </w:r>
    </w:p>
    <w:p>
      <w:r>
        <w:t>Conformément à l’art. 267 al. 1 CPP, si le motif du séquestre disparaît, le ministère public ou le tribunal lève la mesure et restitue les objets et valeurs patrimoniales à l’ayant droit. Le séquestre doit être ainsi levé aussitôt que les conditions qui ont justifié sa mise en œuvre ne sont plus réalisées ou lorsque la mesure n’est plus nécessaire (Lembo/Julen Berthod, in : Kuhn/Jeanneret [éd.], Commentaire romand, Code de procédure pénale suisse, Bâle 2011, n. 1 ad art. 267 CPP).</w:t>
      </w:r>
    </w:p>
    <w:p>
      <w:r>
        <w:rPr>
          <w:b/>
        </w:rPr>
        <w:t>E. 2.3</w:t>
      </w:r>
    </w:p>
    <w:p>
      <w:r>
        <w:t>En l’espèce, dans l’ordonnance attaquée, la Procureure s’est limitée à indiquer que le prévenu était dans une situation financière précaire faisant craindre qu’en cas de condamnation, il ne soit pas en mesure de faire face à des sanctions pécuniaires, raison pour laquelle elle a décidé de maintenir le séquestre sur la somme de 1'200 fr. saisie dans le véhicule du prévenu. Elle n’a en revanche aucunement examiné si le minimum vital du prévenu était respecté par le séquestre prononcé, alors qu’il s’agit d’un séquestre en couverture des frais imposant un tel examen et qu’elle a elle-même exposé que le prévenu était dans une situation financière précaire. Au vu des pièces produites par C.________ à l’appui de son recours, il apparaît clairement que sa situation financière est très modeste. En effet, le revenu d’insertion, par 1'494 fr. 65, constitue sa seule source de revenu (P. 6-7), alors que ses charges incompressibles</w:t>
      </w:r>
    </w:p>
    <w:p>
      <w:r>
        <w:t>- 6 - sont sensiblement supérieures (P. 8 ss). Il s’ensuit que le séquestre de la somme de 1'200 fr. ordonné par le Ministère public ne respecte pas le minimum vital du prévenu. Dès lors que les conditions du séquestre ne sont pas remplies, il se justifie de lever celui-ci.</w:t>
      </w:r>
    </w:p>
    <w:p>
      <w:r>
        <w:rPr>
          <w:b/>
        </w:rPr>
        <w:t>E. 3</w:t>
      </w:r>
    </w:p>
    <w:p>
      <w:r>
        <w:t>Au vu de ce qui précède, le recours doit être admis, l’ordonnance du 21 mars 2017 réformée en ce sens que le séquestre de la somme de 12 x 100 fr. en espèces, soit 1'200 fr., est levé et ladite somme restituée à l’intéressé. Les frais de la procédure de recours, constitués en l’espèce de l’émolument d’arrêt, par 660 fr. (art. 20 al. 1 TFIP [tarif des frais de procédure et indemnités en matière pénal du 28 septembre 2010; RSV 312.03.1]), ainsi que des frais imputables à la défense d’office (art. 422 al. 1 et al. 2 let. a CPP), fixés à 360 fr., plus la TVA par 28 fr. 80, soit à 388 fr. 80 au total, seront laissés à la charge de l’Etat (art. 428 al. 4 CPP). Par ces motifs, la Chambre des recours pénale prononce : I. Le recours est admis. II. L’ordonnance du 21 mars 2017 est réformée en ce sens que le séquestre ordonné le 30 janvier 2017 sur la somme de 12 x 100 fr. en espèces, soit 1'200 fr., est levé et la somme en question restituée à C.________. III. L’indemnité allouée au défenseur d’office du recourant est fixée à 388 fr. 80 (trois cent huitante-huit francs et huitante centimes). IV. Les frais de la procédure de recours, par 660 fr. (six cent soixante francs), ainsi que l’indemnité due au défenseur</w:t>
      </w:r>
    </w:p>
    <w:p>
      <w:r>
        <w:t>- 7 - d’office du recourant, par 388 fr. 80 (trois cent huitante-huit francs et huitante centimes), sont laissés à la charge de l’Etat. V. L’arrêt est exécutoire. Le président : Le greffier : Du Le présent arrêt, dont la rédaction a été approuvée à huis clos, est notifié, par l'envoi d'une copie complète, à : - Me Gloria Capt, avocate (pour C.________), - Me Zakia Arnouni, avocate (pour L.________), - Ministère public central et communiqué à :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