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PE16.019347 vom 28. Februar 2018</w:t>
      </w:r>
    </w:p>
    <w:p>
      <w:r>
        <w:t>VD Tribunal cantonal, 2018-02-28, FR</w:t>
      </w:r>
    </w:p>
    <w:p>
      <w:r>
        <w:rPr>
          <w:b/>
        </w:rPr>
        <w:t xml:space="preserve">Quelle: </w:t>
      </w:r>
      <w:r>
        <w:t>https://mcp.opencaselaw.ch/entscheid/vd_gerichte_PE16.019347</w:t>
      </w:r>
    </w:p>
    <w:p>
      <w:r>
        <w:t>FR: VD_GERICHTE PE16.019347 du 28 février 2018</w:t>
      </w:r>
    </w:p>
    <w:p>
      <w:r>
        <w:t>IT: VD_GERICHTE PE16.019347 del 28 febbraio 2018</w:t>
      </w:r>
    </w:p>
    <w:p>
      <w:pPr>
        <w:pStyle w:val="Heading2"/>
      </w:pPr>
      <w:r>
        <w:t>Erwägungen</w:t>
      </w:r>
    </w:p>
    <w:p>
      <w:r>
        <w:rPr>
          <w:b/>
        </w:rPr>
        <w:t>E. 3</w:t>
      </w:r>
    </w:p>
    <w:p>
      <w:r>
        <w:t>En définitive, le recours doit être rejeté dans la mesure où il a un objet et le mandat d’expertise psychiatrique du 13 décembre 2017 confirmé. Les frais de la procédure de recours, constitués en l’espèce de l’émolument d'arrêt, par 1'540 fr. (art. 20 al. 1 TFIP [tarif des frais de procédure et indemnités en matière pénale du 28 septembre 2010; RSV 312.03.1]), et des frais imputables à la défense d’office (art. 422 al. 1 et 2 let. a CPP), fixés à 900 fr., plus la TVA par 72 fr., soit un total de 972 fr., seront mis à la charge de N.________,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dans la mesure où il a un objet. II. Le mandat d’expertise psychiatrique du 13 décembre 2017 est confirmé. III. L’indemnité allouée au défenseur d’office de N.________ est fixée à 972 fr. (neuf cent septante-deux francs). IV. Les frais d’arrêt, par 1'540 fr. (mille cinq cent quarante francs), ainsi que l'indemnité due au défenseur d'office de N.________,</w:t>
      </w:r>
    </w:p>
    <w:p>
      <w:r>
        <w:t>- 16 - par 972 fr. (neuf cent septante-deux francs), sont mis à la charge de ce dernier. V. Le remboursement à l'Etat de l'indemnité allouée au chiffre III ci-dessus sera exigible pour autant que la situation financière de N.________ le permette. VI. L’arrêt est exécutoire. Le président : La greffière : Du Le présent arrêt, dont la rédaction a été approuvée à huis clos, est notifié, par l'envoi d'une copie complète, à : - Me Laurent Schuler, avocat (pour N.________), - Me Gloria Capt, avocate (pour L.________), - Me Stéfanie Brun Poggi, avocate (pour B.Q.________),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- 17 - 1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