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PE16.019223 vom 3. April 2017</w:t>
      </w:r>
    </w:p>
    <w:p>
      <w:r>
        <w:t>VD Tribunal cantonal, 2017-04-03, FR</w:t>
      </w:r>
    </w:p>
    <w:p>
      <w:r>
        <w:rPr>
          <w:b/>
        </w:rPr>
        <w:t xml:space="preserve">Quelle: </w:t>
      </w:r>
      <w:r>
        <w:t>https://mcp.opencaselaw.ch/entscheid/vd_gerichte_PE16.019223</w:t>
      </w:r>
    </w:p>
    <w:p>
      <w:r>
        <w:t>FR: VD_GERICHTE PE16.019223 du 3 avril 2017</w:t>
      </w:r>
    </w:p>
    <w:p>
      <w:r>
        <w:t>IT: VD_GERICHTE PE16.019223 del 3 aprile 2017</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2e éd., Bâle 2014, n. 2 ad art. 356 CPP; CREP 9 septembre 2016/605;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devant l’autorité compétente par la prévenue qui a qualité pour recourir (art. 382 al. 1 CPP) et dans les formes prescrites (art. 385 al. 1 CPP), le recours est recevable.</w:t>
      </w:r>
    </w:p>
    <w:p>
      <w:r>
        <w:t>- 4 -</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6B_1088/2013 du 12 mai 2014 consid. 1.2; TF 6B_314/2012 du 18 février 2013 consid. 1.2;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w:t>
      </w:r>
    </w:p>
    <w:p>
      <w:r>
        <w:t>- 5 - l'ouverture d'un procès et vaut pendant toute la durée de la procédure (TF 6B_314/2012 du 18 février 2013 consid. 1.3.1 ; ATF 130 III 396 consid. 1.2.3). La personne concernée doit s'attendre à la remise d'un prononcé lorsqu'elle est au courant qu'elle fait l'objet d'une instruction pénale au sens de l'art. 309 CPP (TF 6B_281/2012 du 9 octobre 2012 consid. 1.1; TF 6B_158/2012 du 27 juillet 2012 consid 2.1; Schmid, Schweizerische Strafprozessordnung [StPO], Praxiskommentar, 2ème éd., 2013, n° 9 ad art. 85 CPP; Moreillon/Parein-Reymond, Petit Commentaire du Code de procédure pénale, 2e éd. 2016, n° 17 ad art. 85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6B_314/2012 du 18 février 2013 consid. 1.3.2; TF 6B_281/2012 du 9 octobre 2012 consid. 1.1; TF 6B_158/2012 du 27 juillet 2012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TF 6B_704/2015 du 16 février 2016 consid. 2.3).</w:t>
      </w:r>
    </w:p>
    <w:p>
      <w:r>
        <w:rPr>
          <w:b/>
        </w:rPr>
        <w:t>E. 2.3</w:t>
      </w:r>
    </w:p>
    <w:p>
      <w:r>
        <w:t>En l’espèce, l’ordonnance pénale du 14 octobre 2016 a été envoyée le même jour par pli recommandé à l'adresse de la recourante et celle-ci ne l'a pas retirée au terme du délai de garde, qui arrivait à échéance le 24 octobre 2016. Elle devait toutefois s’attendre à recevoir des communications de la part des autorités pénales. En effet, entendue par la Police de Lausanne le 12 août 2016, elle a été informée de ses</w:t>
      </w:r>
    </w:p>
    <w:p>
      <w:r>
        <w:t>- 6 - droits et obligations découlant de sa qualité de prévenue et a signé le formulaire l'avertissant qu'une procédure pénale était ouverte contre elle. Il s'ensuit qu'elle devait prendre les mesures appropriées pour que toute suite utile puisse être donnée, en son absence, à un envoi judiciaire la concernant. En l'occurrence, l’ordonnance pénale du 14 octobre 2016 est donc réputée avoir été notifiée à la recourante à l’échéance du délai de garde, soit le 24 octobre 2016 (art. 85 al. 4 let. a CPP). Par conséquent, cette dernière disposait d'un délai au 3 novembre suivant pour former opposition conformément à l’art. 354 al. 1 CPP. L’opposition formée le 25 janvier 2017 est donc clairement tardive. La recourante ne conteste pas, à juste titre, la régularité de la notification de l'ordonnance pénale litigieuse, ni encore la tardiveté de l'opposition. Elle ne conclut pas davantage à la restitution du délai d'opposition. C'est donc à bon droit que le tribunal de première instance a déclaré que l’opposition de la recourante était irrecevable.</w:t>
      </w:r>
    </w:p>
    <w:p>
      <w:r>
        <w:rPr>
          <w:b/>
        </w:rPr>
        <w:t>E. 2.4</w:t>
      </w:r>
    </w:p>
    <w:p>
      <w:r>
        <w:t>A l'appui de son recours, S.________ explique que le véhicule qu'elle conduisait appartenait à son "ex-mari" dont elle était séparée, contestant ainsi le vol d'usage. Elle prétend avoir un permis kosovar dont elle ignorait qu'il n'était pas valable ni reconnu en Suisse. Enfin, compte tenu du fait qu'elle est mère d'une fille de quelques mois, il serait impensable pour elle d'exécuter une peine privative de liberté de soixante jours. Ces arguments relatifs au fond de la cause n'ont toutefois pas à être examinés par la Cour de céans, à laquelle il incombe uniquement de statuer sur la validité du prononcé déclarant irrecevable l'opposition de la recourante. Cela étant, la Cour relève que, dès lors que l'intéressée paraît disposer d'un emploi, il lui est loisible de demander à bénéficier du régime de la semi-détention, étant précisé que la décision y relative appartient à l’Office d’exécution des peines.</w:t>
      </w:r>
    </w:p>
    <w:p>
      <w:r>
        <w:t>- 7 -</w:t>
      </w:r>
    </w:p>
    <w:p>
      <w:r>
        <w:rPr>
          <w:b/>
        </w:rPr>
        <w:t>E. 3</w:t>
      </w:r>
    </w:p>
    <w:p>
      <w:r>
        <w:t>En définitive, le recours, manifestement mal fondé, doit être rejeté sans autres échanges d’écritures (art. 390 al. 2 CPP) et le prononcé du 17 mars 2017 confirmé.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Le prononcé du 17 mars 2017 est confirmé. III. Les frais d'arrêt, par 660 fr. (six cent soixante francs), sont mis à la charge de la recourante. IV. L’arrêt est exécutoire. Le président : Le greffier :</w:t>
      </w:r>
    </w:p>
    <w:p>
      <w:r>
        <w:t>- 8 - Du Le présent arrêt, dont la rédaction a été approuvée à huis clos, est notifié, par l'envoi d'une copie complète, à : - S.________,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