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PE16.019139 vom 21. August 2017</w:t>
      </w:r>
    </w:p>
    <w:p>
      <w:r>
        <w:t>VD Tribunal cantonal, 2017-08-21, FR</w:t>
      </w:r>
    </w:p>
    <w:p>
      <w:r>
        <w:rPr>
          <w:b/>
        </w:rPr>
        <w:t xml:space="preserve">Quelle: </w:t>
      </w:r>
      <w:r>
        <w:t>https://mcp.opencaselaw.ch/entscheid/vd_gerichte_PE16.019139</w:t>
      </w:r>
    </w:p>
    <w:p>
      <w:r>
        <w:t>FR: VD_GERICHTE PE16.019139 du 21 août 2017</w:t>
      </w:r>
    </w:p>
    <w:p>
      <w:r>
        <w:t>IT: VD_GERICHTE PE16.019139 del 21 agosto 2017</w:t>
      </w:r>
    </w:p>
    <w:p>
      <w:pPr>
        <w:pStyle w:val="Heading2"/>
      </w:pPr>
      <w:r>
        <w:t>Erwägungen</w:t>
      </w:r>
    </w:p>
    <w:p>
      <w:r>
        <w:rPr>
          <w:b/>
        </w:rPr>
        <w:t>E. 4.1</w:t>
      </w:r>
    </w:p>
    <w:p>
      <w:r>
        <w:t>L’appelant invoque une violation des art. 198 et 251 CPP. Il reproche au premier juge d’avoir exploité à son encontre les résultats de tests sanguins et d’urine effectués le 15 juillet 2016. Il fait valoir que la prise de sang et la collecte d’urine constitueraient des examens de personne au sens de l’art. 251 CPP, qui devraient être ordonnés par le Ministère public, cette compétence ne pouvant en aucun cas être déléguée à la police, même si l’appelant a consenti à de tels examens. Or, aucun élément au dossier n’indiquerait que, dans le cas d’espèce, un représentant du Ministère public aurait ordonné ces prises de sang et examens d’urine. En outre, l’infraction prévue à l’art. 91 al. 2 LCR (Loi fédérale du 19 décembre 1958 sur la circulation routière; RS 741.01) ne serait pas grave au sens de l’art. 141 al. 2 CPP. Par conséquent, la récolte d’urine et la prise de sang du 15 juillet 2016, ainsi que le rapport d’analyse toxicologique du Centre universitaire romand de médecine légale (ci- après : CURML) du 8 septembre 2016 constitueraient des preuves qui ne seraient pas exploitables au sens de l’art. 141 al. 2 CPP. Il en résulterait que l’appelant devrait être libéré du chef d’accusation de l’art. 91 al. 2 let. b LCR, aucun autre élément ne permettant d’établir que celui-ci aurait conduit un véhicule automobile alors qu’il se trouvait dans l’incapacité de conduire.</w:t>
      </w:r>
    </w:p>
    <w:p>
      <w:r>
        <w:rPr>
          <w:b/>
        </w:rPr>
        <w:t>E. 4.2</w:t>
      </w:r>
    </w:p>
    <w:p>
      <w:r>
        <w:t>- 8 -</w:t>
      </w:r>
    </w:p>
    <w:p>
      <w:r>
        <w:rPr>
          <w:b/>
        </w:rPr>
        <w:t>E. 4.2.1</w:t>
      </w:r>
    </w:p>
    <w:p>
      <w:r>
        <w:t>L'art. 251 CPP prévoit l'examen de l'état physique ou psychique du prévenu (al. 1), notamment pour établir les faits (al. 2 let. a). Des atteintes à l'intégrité corporelle du prévenu peuvent être ordonnées si elles ne lui causent pas de douleurs particulières et ne nuisent pas à sa santé (al. 3). Les examens inutiles, disproportionnés, sans raison suffisante ou attentatoires à la dignité humaine sont exclus (Moreillon/Parein-Reymond, op. cit., n. 6 ad art. 251 CPP et les références citées). En matière de circulation routière, l'art. 55 al. 2 LCR prévoit plus spécifiquement que, si la personne présente des indices laissant présumer une incapacité de conduire et que ces indices ne sont pas dus ou pas uniquement dus à l'influence de l'alcool, elle peut faire l'objet d'autres examens préliminaires, notamment d'un contrôle de l'urine et de la salive. En outre, si elle présente des indices laissant présumer une incapacité qui n'est pas imputable à l'alcool, une prise de sang doit être ordonnée (art. 55 al. 3 let. a LCR). L’alinéa 7 de cette disposition délègue au Conseil fédéral la compétence d’édicter des prescriptions sur les examens préliminaires prévus par l’alinéa 2. Sur cette base, le Conseil fédéral a édicté l’OCCR (Ordonnance du 28 mars 2007 sur le contrôle de la circulation routière ; RS 741.013) dont les art. 10 à 19 contiennent les dispositions sur le contrôle de la capacité de conduire. Selon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notamment dans les urines, la salive ou la sueur. Une prise de sang doit être ordonnée lorsqu’il existe des indices laissant présumer une incapacité de conduire qui n’est pas ou pas uniquement liée à l’influence de l’alcool. Il est en outre possible d’ordonner une récolte des urines (art. 12a OCCR).</w:t>
      </w:r>
    </w:p>
    <w:p>
      <w:r>
        <w:rPr>
          <w:b/>
        </w:rPr>
        <w:t>E. 4.2.2</w:t>
      </w:r>
    </w:p>
    <w:p>
      <w:r>
        <w:t>Selon l'art. 198 al. 1 let. a CPP, le ministère public est compétent pour ordonner des mesures de contrainte, soit notamment</w:t>
      </w:r>
    </w:p>
    <w:p>
      <w:r>
        <w:t>- 9 - l'examen de la personne au sens de l'art. 251 CPP (Moreillon/Parein- Reymond, Petit Commentaire du Code de procédure pénale, Bâle 2016, 2e éd., n. 5 ad art. 198 CPP et la référence citée), respectivement pour ordonner des examens corporels dont font partie les prélèvements d'éléments non détachés du corps comme le sang et l'urine (Moreillon/Parein-Reymond, op. cit., nn. 1 ss ad art. 251 CP et les références citées). La prise de sang destinée à constater une incapacité de conduire constitue une mesure de contrainte. Elle doit, même si la personne concernée y consent, être ordonnée par le ministère public (ATF 143 IV 313 consid. 5.2).</w:t>
      </w:r>
    </w:p>
    <w:p>
      <w:r>
        <w:rPr>
          <w:b/>
        </w:rPr>
        <w:t>E. 4.2.3</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 (al. 2).</w:t>
      </w:r>
    </w:p>
    <w:p>
      <w:r>
        <w:rPr>
          <w:b/>
        </w:rPr>
        <w:t>E. 4.2.4</w:t>
      </w:r>
    </w:p>
    <w:p>
      <w:r>
        <w:t>Selon l’art. 2 al. 2 let a OCR (Ordonnance du 13 novembre 1962 sur les règles de la circulation routière ; RS 741.11), un conducteur est réputé incapable de conduire chaque fois qu'il est prouvé que son sang contient du tetrahydrocannabinol (cannabis). Selon l’art. 34 al. 1 let. a OOCCR-OFROU, la présence de stupéfiants au sens de l'art. 2 al. 2 OCR est considérée comme prouvée lorsque leur quantité dans le sang atteint ou dépasse 1,5 µg/L THC.</w:t>
      </w:r>
    </w:p>
    <w:p>
      <w:r>
        <w:rPr>
          <w:b/>
        </w:rPr>
        <w:t>E. 4.3</w:t>
      </w:r>
    </w:p>
    <w:p>
      <w:r>
        <w:t>En l’espèce, l’ordre de procéder aux examens litigieux n’a pas été ordonné par le Ministère public, la police ayant agi sur la base d’une délégation générale de ce dernier, qui a été informé des faits par message électronique le 15 juillet 2016. Or, dans son arrêt de principe publié aux ATF 43 IV 313, le Tribunal fédéral n’a pas admis une délégation générale de police lorsque des mesures coercitives (prise de sang, examen d’urine, etc.) étaient nécessaires pour vérifier l’aptitude à la conduite, et cela même si le conducteur y consentait. Par conséquent, il faut admettre avec</w:t>
      </w:r>
    </w:p>
    <w:p>
      <w:r>
        <w:t>- 10 - l’appelant que les examens réalisés le 15 juillet 2016, soit une prise de sang et une collecte d’urine, sont illicites et que le rapport de leur analyse toxicologique est inexploitable. Certes, l’appelant a admis avoir consommé du cannabis. Il résulte en outre du rapport de police qu’une odeur de marijuana émanait de l’habitacle du véhicule conduit par le prévenu, qu’un joint a été découvert dans la boîte à gant et que le test de dépistage de drogue rapide s’est révélé positif au cannabis. Toutefois, contrairement à ce que soutient l’intimé, ces éléments ne permettent pas de retenir l’infraction à l’art. 91 al. 2 let. b LCR, indépendamment du résultat des examens litigieux. En effet, à défaut de pouvoir exploiter le résultat de l’analyse du CURML, il n’est pas possible d’affirmer que le taux de THC de l’appelant a atteint ou dépassé 1,5 µg/L THC, respectivement que l’appelant était réputé incapable de conduire. Au vu de ce qui précède, il convient de libérer U.________ du chef d’accusation de conduite d’un véhicule automobile sous l’influence de cannabis au sens de l’art. 91 al. 2 let. b LCR.</w:t>
      </w:r>
    </w:p>
    <w:p>
      <w:r>
        <w:rPr>
          <w:b/>
        </w:rPr>
        <w:t>E. 5.1</w:t>
      </w:r>
    </w:p>
    <w:p>
      <w:r>
        <w:t>L’appelant conclut à ce que les frais de première instance soient laissés à la charge de l’Etat et à l’allocation d’une indemnité au sens de l’art. 429 CPP d’un montant de 3'134 francs.</w:t>
      </w:r>
    </w:p>
    <w:p>
      <w:r>
        <w:rPr>
          <w:b/>
        </w:rPr>
        <w:t>E. 5.2.1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w:t>
      </w:r>
    </w:p>
    <w:p>
      <w:r>
        <w:t>- 11 -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rPr>
          <w:b/>
        </w:rPr>
        <w:t>E. 5.2.2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w:t>
      </w:r>
    </w:p>
    <w:p>
      <w:r>
        <w:t>- 12 -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 prozessordnung, 2e éd., 2014, n. 2 et 4 ad art. 430 CPP ; Mizel/Rétornaz, in : Kuhn/Jeanneret [éd.], Commentaire romand, Code de procédure pénale suisse, Bâle 2011, n. 5 ad art. 430 CPP ; TF 6B_203/2015 du 16 mars 2016 consid. 1.2 ; TF 6B_77/2013 du 4 mars 2013).</w:t>
      </w:r>
    </w:p>
    <w:p>
      <w:r>
        <w:rPr>
          <w:b/>
        </w:rPr>
        <w:t>E. 5.3</w:t>
      </w:r>
    </w:p>
    <w:p>
      <w:r>
        <w:t>En l’espèce, quand bien même l’appelant a été libéré du délit de conduite d’un véhicule sous l’influence de cannabis, il a bel et bien consommé cette drogue avant de conduire, le test « Rapid STAT » effectué par les agents s’étant révélé positif, et il était en possession d’un second joint. Le prévenu a donc provoqué l’ouverture de l’action pénale, de sorte que l’intégralité des frais de première instance doivent être mis à sa charge. Dès lors que le prévenu supporte les frais en application de l'art. 426 al. 2 CPP, il n’a pas droit à une indemnité au sens de l’art. 429 CPP.</w:t>
      </w:r>
    </w:p>
    <w:p>
      <w:r>
        <w:rPr>
          <w:b/>
        </w:rPr>
        <w:t>E. 6</w:t>
      </w:r>
    </w:p>
    <w:p>
      <w:r>
        <w:t>Il résulte de ce qui précède que l’appel doit être partiellement admis et le jugement réformé dans le sens des considérants. Vu l’issue de la cause, les frais d'appel, constitués de l'émolument de jugement (art. 21 al. 1 et 2 TFIP [Tarif des frais de procédure et indemnités en matière pénale du 28 septembre 2010 ; RSV</w:t>
      </w:r>
    </w:p>
    <w:p>
      <w:r>
        <w:t>- 13 - 312.03.1]), par 1'320 fr., seront mis par un quart à la charge d’U.________, le solde étant laissé à la charge de l’Etat. L’appelant aura droit à une indemnité réduite dans la même proportion. Le défenseur d’U.________ a produit une liste des opérations, dont il ressort un temps total de 5.35 heures à un tarif horaire de 350 francs. Le nombre d'heures ne prête pas le flanc à la critique. S’agissant toutefois d’une cause qui relevait de la compétence du Tribunal de police, il convient d’appliquer un tarif horaire de 250 fr., et non de 300 fr. comme requis (art. 26a TFIP [Tarif des frais de procédure et indemnités en matière pénale ; RSV 312.03.1]). Le montant de l’indemnité doit ainsi être arrêté sur la base d’une durée d’activité utile du défenseur de 5.35, au tarif horaire de 250 fr., plus 50 fr. de débours, plus la TVA, ce qui représente un montant total de 1'498 fr. 50. Compte tenu de la réduction, c'est une indemnité de 1'123 fr. 90, débours et TVA compris, qui doit être allouée à l'appelant, à la charge de l’Etat, pour ses frais de défense en appel. En application de l’art. 442 al. 4 CPP, il convient d’effectuer une compensation entre l’indemnité allouée à l’appelant selon l’art. 429 CPP et les frais d’appel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