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PE16.018965 vom 5. Februar 2019</w:t>
      </w:r>
    </w:p>
    <w:p>
      <w:r>
        <w:t>VD Tribunal cantonal, 2019-02-05, FR</w:t>
      </w:r>
    </w:p>
    <w:p>
      <w:r>
        <w:rPr>
          <w:b/>
        </w:rPr>
        <w:t xml:space="preserve">Quelle: </w:t>
      </w:r>
      <w:r>
        <w:t>https://mcp.opencaselaw.ch/entscheid/vd_gerichte_PE16.018965</w:t>
      </w:r>
    </w:p>
    <w:p>
      <w:r>
        <w:t>FR: VD_GERICHTE PE16.018965 du 5 février 2019</w:t>
      </w:r>
    </w:p>
    <w:p>
      <w:r>
        <w:t>IT: VD_GERICHTE PE16.018965 del 5 febbraio 2019</w:t>
      </w:r>
    </w:p>
    <w:p>
      <w:pPr>
        <w:pStyle w:val="Heading2"/>
      </w:pPr>
      <w:r>
        <w:t>Erwägungen</w:t>
      </w:r>
    </w:p>
    <w:p>
      <w:r>
        <w:rPr>
          <w:b/>
        </w:rPr>
        <w:t>E. 4.1</w:t>
      </w:r>
    </w:p>
    <w:p>
      <w:r>
        <w:t>L’appelant conteste les faits qui se seraient déroulés dans les locaux du [...], faisant valoir que, de manière générale, Z.________ aurait fortement varié dans ses déclarations, lesquelles ne seraient au demeurant corroborées par aucun autre élément du dossier. Or, les premiers juges auraient retenu à chaque fois la version la plus défavorable au prévenu. En ce qui concerne l’événement d’août 2015, pour lequel il reconnaît les faits, l’appelant soutient que l’acte d’accusation ne contiendrait aucun élément permettant de retenir un lien de dépendance, qu’on ne pourrait quoi qu’il en soit pas établir l’existence d’un tel lien vu les circonstances de l’espèce et que les éléments constitutifs de l’infraction d’abus de la détresse ne seraient dès lors pas réunis.</w:t>
      </w:r>
    </w:p>
    <w:p>
      <w:r>
        <w:rPr>
          <w:b/>
        </w:rPr>
        <w:t>E. 4.2</w:t>
      </w:r>
    </w:p>
    <w:p>
      <w:r>
        <w:t>- 20 -</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w:t>
      </w:r>
    </w:p>
    <w:p>
      <w:r>
        <w:t>- 21 -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w:t>
      </w:r>
    </w:p>
    <w:p>
      <w:r>
        <w:t>- 22 - 188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4.2.3</w:t>
      </w:r>
    </w:p>
    <w:p>
      <w:r>
        <w:t>Aux termes de l'art. 193 al. 1 CP (Code pénal suisse du 21 décembre 1937 ; RS 311.0),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Il résulte de cette disposition que la victime doit être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(Dupuis et al. [éd.], Petit commentaire du Code pénal, 2e éd., Bâle 2017, n. 5 ad art. 193 CP et les réf. citées). Est dépendante au sens de l’art. 193 CP la victime qui n’est pas libre en raison d’une des circonstances mentionnées par la loi, et qui par conséquent se trouve objectivement ou subjectivement à la merci de l’auteur de l’infraction ou de son assistance. Pour qu’il y ait un lien de</w:t>
      </w:r>
    </w:p>
    <w:p>
      <w:r>
        <w:t>- 23 - dépendance, il faut que la liberté de décision soit considérablement limitée. Pour déterminer l’intensité du lien de dépendance, il faut se pencher sur les circonstances du cas d’espèce. A la base d’un tel lien, il y a en général un rapport de confiance particulier et toujours une forte emprise de l’auteur sur la victime (ATF 133 IV 49 consid. 5, JdT 2009 IV 17 ; ATF 131 IV 114 consid. 1, JdT 2007 IV 151 ; Queloz/Meylan, in : Macaluso/ Moreillon/Queloz [éd.], Commentaire romand, Code pénal II, Bâle 2017, n. 14 ad art. 193 CP et les réf. citées). L'art. 193 CP est réservé aux cas où on discerne un consentement. Il faut que ce consentement apparaisse motivé par la situation de détresse ou de dépendance dans laquelle se trouve la victime. Il doit exister une certaine entrave au libre arbitre. L'art. 193 CP envisage donc une situation qui se situe entre l'absence de consentement (art. 189 et 190 CP) et le libre consentement, qui exclut toute infraction. On vise un consentement altéré par une situation de détresse ou de dépendance dont l'auteur profite. Les limites ne sont pas toujours faciles à tracer. L'infraction doit permettre de réprimer le comportement de celui qui profite de façon éhontée d'une situation de détresse ou de dépendance dans un cas où la victime n'aurait manifestement pas consenti sans cette situation particulière (Corboz, Les infractions en droit suisse, vol. I, 3e éd., Berne 2010, n. 11 ad art. 193 CP ; TF 6S.117/2006 du</w:t>
      </w:r>
    </w:p>
    <w:p>
      <w:r>
        <w:rPr>
          <w:b/>
        </w:rPr>
        <w:t>E. 4.3</w:t>
      </w:r>
    </w:p>
    <w:p>
      <w:r>
        <w:t>En l’occurrence, l’appelant admet les actes d’ordre sexuel les plus graves reprochés par la plaignante, soit ceux qui se sont produits au domicile de cette dernière en août 2015. Or, cette reconnaissance des faits les plus importants démontre déjà que le récit global de la victime est conforme à la vérité. En effet, comme l’ont relevé à juste titre les juges de première instance, même si l’appelant conteste avoir adopté un quelconque comportement de nature sexuelle sur son lieu de travail, on ne voit pas pour quelles raisons Z.________, parfaitement crédible pour les faits d’août 2015, aurait inventé la survenance de ces actes d’ordre sexuel de moindre gravité. En outre, il y a lieu de relever que Z.________ a évoqué les remarques et gestes déplacés adoptés par l’appelant dans les locaux du [...] dès le dépôt de sa plainte, le 22 septembre 2016 (P. 5/1, p. 1). Elle les a ensuite confirmés à chacune de ses auditions, le 10 octobre 2016 (PV aud. 1 R. 10), le 3 mai 2018 (PV aud. 5 lignes 24-31) et, enfin, lors des débats de première instance (jugement, p. 11). S’il existe quelques variations dans ses déclarations, force est de constater qu’elles ne portent pas sur la substance des faits reprochés mais sur des points secondaires et qu’elles peuvent quoi qu’il en soit aisément s’expliquer par les limitations cognitives présentées par Z.________, qui sont attestées par expert (P. 69, p. 13 premier paragraphe notamment). Comme l'observe par ailleurs le Tribunal de première instance, les faits relatés par la plaignante sont corroborés sur de nombreux points par l’appelant, y compris sur le fait que ce dernier a demandé à Z.________ de se taire après les événements d'août 2015. Il apparaît en réalité que la version du prévenu diverge surtout sur des points de nature à l'exonérer</w:t>
      </w:r>
    </w:p>
    <w:p>
      <w:r>
        <w:t>- 25 - de sa responsabilité pénale, comme le fait d'avoir passé outre les refus ou les réticences exprimées par la victime, alors même qu'il est évident qu'il devait s'abstenir de toute relation de nature sexuelle avec son ancienne pupille dans le contexte d'aide qu'il lui apportait dans les démarches visant la levée de sa curatelle. En définitive, l’intégralité des faits faisant l’objet de l’accusation sont établis et doivent être retenus comme tels, y compris ceux qui se sont déroulés dans les locaux du [...] entre 2014 et le mois d’août 2015. Pour le surplus, il n’y a pas de violation de la maxime d’accusation dans le cas d’espèce. L’acte d’accusation mentionne en effet à la fois les difficultés psychiques rencontrées par la plaignante et les fonctions professionnelles d’O.________, ce qui est suffisant pour retenir l’existence éventuelle d’un lien de dépendance. A cet égard, le Tribunal correctionnel a considéré qu’un tel lien existait entre le prévenu et la plaignante compte tenu de l'incapacité de cette dernière à accomplir seule des démarches administratives, et plus particulièrement en raison de l'aide qu’elle attendait de la part d’O.________, son ancien tuteur, pour obtenir non seulement la levée de sa curatelle, mais également l’extension du droit de visite sur sa fille, démarches qu’elle considérait comme décisives pour sa vie future. Sans que cela ne remplace leur propre conviction, les juges de première instance ont également souligné que les experts psychiatres étaient parvenus au même constat dans leur rapport, au vu de l'absence d'autonomie réelle de la plaignante dans la vie quotidienne. Le Dr G.________ avait en outre confirmé aux débats que la figure d’autorité bienveillante que représentait le prévenu aux yeux de la plaignante avait eu un impact sur leur relation et sur la manière dont Z.________ avait réagi. La fonction d'ancien tuteur avait créé ce rapport de confiance envers le prévenu, qui l'avait exploité à des fins sexuelles. Les premiers juges ont encore relevé qu’O.________ n'avait d'ailleurs pas contesté qu'il connaissait parfaitement la situation personnelle et les problèmes de santé de la plaignante. Tous les éléments objectifs et subjectifs de l'infraction étaient donc réunis (jugement, pp. 40-42).</w:t>
      </w:r>
    </w:p>
    <w:p>
      <w:r>
        <w:t>- 26 - Cette appréciation est adéquate. En effet, l'existence d'un rapport de dépendance est objectivement établie par les circonstances de l'espèce, soit par la qualité d'ancien tuteur de l’appelant et par les capacités cognitives sérieusement réduites de la plaignante, qui entraînent des difficultés en matière de gestion administrative. La relation qui s'est créée entre les parties était ainsi étroitement liée à l'aide que l’appelant apportait à Z.________ de par ses aptitudes professionnelles. Il est également évident que ce dernier qui, dès sa première audition, a reconnu que la plaignante était « fragile et diminuée mentalement » (PV aud. 2 R. 6 p. 3), a sciemment exploité ce contexte à des fins sexuelles. Une telle conscience de l'illicéité du comportement découle notamment du silence qu’il a sollicité de sa victime après les événements d’août 2015, injonction qu’il a encore confirmé avoir formulée lors des débats d’appel (cf. p. 4). Au vu de ce qui précède, la condamnation d’O.________ pour abus de la détresse doit être confirmée. 5. Concluant à sa libération pure et simple, l’appelant ne conteste pas la peine en tant que telle. Examinée d’office, la Cour d’appel considère que la peine prononcée par le Tribunal correctionnel a été fixée en application des critères légaux à charge et à décharge et conformément à la culpabilité et à la situation personnelle d’O.________ (art. 47 CP). Adéquate, la peine pécuniaire de 270 jours-amende à 30 fr. avec sursis pendant deux ans doit ainsi être confirmée. 6. Fondée sur la prémisse de son acquittement, la conclusion de l’appelant tendant à l’allocation en sa faveur d’une indemnité au sens de l’art. 429 CPP ne peut qu’être rejetée, la condamnation de ce dernier étant intégralement confirmée. 7. Appel de Z.________</w:t>
      </w:r>
    </w:p>
    <w:p>
      <w:r>
        <w:t>- 27 - 7.1 L’appelante conteste le montant de l’indemnité pour tort moral qui lui a été alloué, qu’elle considère insuffisant. Elle invoque une violation de l’art. 49 CO (Code des obligations, Loi fédérale complétant le Code civil suisse du 30 mars 1911 ; RS 220). 7.2 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7.3 Pour arrêter le montant de l’indemnité pour tort moral à 2'000 fr., en équité, les premiers juges se sont en particulier fondés sur des témoignages pour retenir que la victime avait été éprouvée par le comportement délictueux du prévenu, mais qu'elle n'avait pas dû être suivie médicalement, n'exprimant actuellement pas d'autres sentiments que la colère (jugement, pp. 43-44). Le Tribunal de première instance a appliqué de manière adéquate les exigences jurisprudentielles relatives à l’art. 49 CO. En raison de l’absence de suivi médical et de traitement, l’atteinte engendrée par</w:t>
      </w:r>
    </w:p>
    <w:p>
      <w:r>
        <w:t>- 28 - l’acte illicite paraît en effet limitée. Cela étant, la Cour a pu percevoir, lors des débats d’appel, la réalité de la souffrance de Z.________, qui s’exprime en particulier par une importante perte de confiance envers autrui et principalement envers les hommes, reconnue par les experts. Dans ces circonstances, il se justifie de porter l’indemnité allouée à un montant de 3'000 fr., lequel apparaît proportionné à l’atteinte subie. 8. Conclusions, frais et indemnités En définitive, l’appel d’O.________ doit être rejeté et celui de Z.________ partiellement admis. Le jugement entrepris sera réformé dans le sens du chiffre 7 qui précède. Sur la base de la liste des opérations produite par Me Laurent Roulier (P. 129), dont il n’y a pas lieu de s’écarter si ce n’est pour tenir compte du temps consacré à l’audience du 20 juin 2019, une indemnité pour la procédure d’appel d’un montant de 2'106 fr. 60, correspondant à</w:t>
      </w:r>
    </w:p>
    <w:p>
      <w:r>
        <w:rPr>
          <w:b/>
        </w:rPr>
        <w:t>E. 9</w:t>
      </w:r>
    </w:p>
    <w:p>
      <w:r>
        <w:t>juin 2006 consid. 3 ; TF 6S.190/2003 du 7 août 2003 consid. 2). Outre l'existence de la détresse ou d'un lien de dépendance,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 accepté l'acte sexuel en raison de sa détresse ou du lien de dépendance existant ou si elle l'a accepté librement, indépendamment de ces éléments (TF 6S.82/2003 du 17 avril 2003 consid. 2.1). Il doit par conséquent exister un lien de causalité entre la détresse ou le lien de dépendance et</w:t>
      </w:r>
    </w:p>
    <w:p>
      <w:r>
        <w:t>- 24 - l'acceptation par la victime d'une relation de nature sexuelle avec l'auteur (ATF 131 IV 114 consid. 1 ; TF 6B_1076/2015 du 13 avril 2016 consid. 2.1). Du point de vue subjectif, il faut que l'acte soit intentionnel. L'auteur doit savoir ou tout au moins supposer que la personne concernée n'accepte les actes d'ordre sexuel en question qu'en raison de sa détresse ou du lien de dépendance existant (ATF 131 IV 114 consid. 1).</w:t>
      </w:r>
    </w:p>
    <w:p>
      <w:r>
        <w:rPr>
          <w:b/>
        </w:rPr>
        <w:t>E. 10</w:t>
      </w:r>
    </w:p>
    <w:p>
      <w:r>
        <w:t>heures d’activité au tarif horaire d’avocat de 180 fr., par 1'800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36 fr., une vacation, par 120 fr., et la TVA, par 150 fr. 60, sera allouée au défenseur d’office d’O.________. Sur la base de la liste des opérations produite par Me Charlotte Iselin (P. 128), dont il n’y a pas lieu de s’écarter, c’est une indemnité de 2'535 fr. 05, correspondant à 12 heures et 10 minutes d’activité au tarif horaire d’avocat de 180 fr., par 2'190 fr., des débours forfaitaires à concurrence de 2 %, par 43 fr. 80, une vacation par 120 fr. et la TVA par 181 fr. 25, qui sera allouée au conseil juridique gratuit de Z.________. Vu l’issue de la cause, les frais de la procédure d’appel, par 7'431 fr. 65, constitués des émoluments de jugement et d’audience, par 2’790 fr. (art. 21 al. 1 et 2 TFIP), ainsi que des indemnités allouées au</w:t>
      </w:r>
    </w:p>
    <w:p>
      <w:r>
        <w:t>- 29 - défenseur d’office du prévenu, par 2'106 fr. 60, et au conseil d’office de la partie plaignante, par 2'535 fr. 05, seront mis par trois quarts, soit par 5’573 fr. 75, à la charge d’O.________ (art. 428 al. 1, 1re phrase, CPP), le solde étant laissé à la charge de l’Etat. O.________ ne sera tenu de rembourser à l’Etat les trois quarts des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