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PE16.018304 vom 21. November 2016</w:t>
      </w:r>
    </w:p>
    <w:p>
      <w:r>
        <w:t>VD Tribunal cantonal, 2016-11-21, FR</w:t>
      </w:r>
    </w:p>
    <w:p>
      <w:r>
        <w:rPr>
          <w:b/>
        </w:rPr>
        <w:t xml:space="preserve">Quelle: </w:t>
      </w:r>
      <w:r>
        <w:t>https://mcp.opencaselaw.ch/entscheid/vd_gerichte_PE16.018304</w:t>
      </w:r>
    </w:p>
    <w:p>
      <w:r>
        <w:t>FR: VD_GERICHTE PE16.018304 du 21 novembre 2016</w:t>
      </w:r>
    </w:p>
    <w:p>
      <w:r>
        <w:t>IT: VD_GERICHTE PE16.018304 del 21 novembre 2016</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Seules les parties ont qualité pour recourir contre une ordonnance de non-entrée en matière (art. 322 al. 2 CPP, par renvoi de l’art. 310 al. 2 CPP). Selon l’art. 104 al. 1 CPP, ont la qualité de partie le prévenu (let. a), la partie plaignante (let. b) et le ministère public, lors des débats ou dans la procédure de recours (let. c). Le dénonciateur qui n’est ni lésé, ni partie plaignante ne jouit d’aucun autre droit en procédure que celui d’être informé par l’autorité de poursuite pénale, à sa demande, sur la suite que celle-ci a donnée à sa dénonciation (art. 301 al. 1 et 2 CPP; Bendani, in : Kuhn/Jeanneret [éd.], Commentaire romand, Code de procédure pénale suisse, Bâle 2011, n. 9 ad art. 105 CPP et les références citées). On entend par partie plaignante (cf. art. 104 al. 1 let. b CPP) le lésé qui déclare expressément vouloir participer à la procédure pénale comme demandeur au pénal ou au civil (art. 118 al. 1 CPP) et par lésé toute personne dont les droits ont été touchés directement par une infraction (art. 115 al. 1 CPP). Peut seul être considéré comme lésé celui qui est personnellement et immédiatement touché, c’est-à-dire celui qui est titulaire du bien juridiquement protégé touché par l’infraction (Perrier, in : Kuhn/Jeanneret [éd.], op. cit., nn. 6 et 8 ad art. 115 CPP et les arrêts cités; Mazzuchelli/Postizzi, in : Niggli/ Heer/Wiprächtiger [éd.], Basler Kommentar, Schweizerische</w:t>
      </w:r>
    </w:p>
    <w:p>
      <w:r>
        <w:t>- 5 - Strafprozessordnung, Jugendstrafprozessordnung, Bâle 2011, n. 21 ad art. 115 CPP; ATF 138 IV 258 consid. 2.2 et 2.3; cf. ég. les arrêts cités par Garbarski, Le lésé et la partie plaignante en procédure pénale, Etat de lieux de la jurisprudence récente, in : SJ 2012 II p. 123, not. TF 1B_553/2012 du 12 novembre 2012 consid.</w:t>
      </w:r>
    </w:p>
    <w:p>
      <w:r>
        <w:rPr>
          <w:b/>
        </w:rPr>
        <w:t>E. 1.2.2</w:t>
      </w:r>
    </w:p>
    <w:p>
      <w:r>
        <w:t>et TF 1B_678/2011 du 30 janvier 2012 consid. 2.1).</w:t>
      </w:r>
    </w:p>
    <w:p>
      <w:r>
        <w:rPr>
          <w:b/>
        </w:rPr>
        <w:t>E. 1.3</w:t>
      </w:r>
    </w:p>
    <w:p>
      <w:r>
        <w:t>En l'espèce, on peut considérer que, malgré les termes utilisés par R.________ dans son écriture du 12 septembre 2016, dans laquelle elle déclare déposer une "dénonciation pénale", l'intéressée a la qualité de partie plaignante, dès lors qu'elle est directement lésée par les infractions dénoncées – sous réserve de celle développée sous consid. 3.5.3 infra – et a déclaré se porter "partie civile". Elle a ainsi la qualité pour recourir (art. 382 al. 1 CPP) contre l'ordonnance de non-entrée en matière du 4 octobre 2016.</w:t>
      </w:r>
    </w:p>
    <w:p>
      <w:r>
        <w:rPr>
          <w:b/>
        </w:rPr>
        <w:t>E. 1.4</w:t>
      </w:r>
    </w:p>
    <w:p>
      <w:r>
        <w:t>Interjeté dans le délai légal auprès de l’autorité compétente par la partie plaignante qui a qualité pour recourir (art. 382 al. 1 CPP) dans la mesure où elle est lésée, le recours est recevable, sous réserve de ce qui sera développé ci-dessous (consid. 3.5.3 infra).</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w:t>
      </w:r>
    </w:p>
    <w:p>
      <w:r>
        <w:t>- 6 -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Dans son acte de recours, R.________ fait tout d'abord valoir que, contrairement à ce qu'a retenu le Procureur, sa plainte du 12 septembre 2016 aurait été déposée en temps utile en tant qu'elle vise le contenu du courrier du 9 mars 2016, dont elle a eu connaissance le 10 juin 2016.</w:t>
      </w:r>
    </w:p>
    <w:p>
      <w:r>
        <w:rPr>
          <w:b/>
        </w:rPr>
        <w:t>E. 3.2</w:t>
      </w:r>
    </w:p>
    <w:p>
      <w:r>
        <w:t>Le droit de porter plainte se prescrit par trois mois; le délai court du jour où l'ayant droit a connu l'auteur de l'infraction (art 31 CP). Un délai fixé en mois est échu le dernier jour du mois correspondant par son quantième au dies a quo (Moreillon/Parein-Reymond, Petit Commentaire du Code de procédure pénale, 2e éd., Bâle 2016, n. 4 ad art. 90 CPP). Le jour à partir duquel court le délai de plainte ne doit pas être compté. Lorsque le dernier jour du délai de plainte est un samedi ou un jour férié, le délai expire le prochain jour ouvrable (Dupuis/Geller/ Monnier/Moreillon/ Piguet/Bettex/Stoll [éd.], Petit commentaire du Code pénal, Bâle 2012, n. 7 ad art. 31 CP et les références citées).</w:t>
      </w:r>
    </w:p>
    <w:p>
      <w:r>
        <w:rPr>
          <w:b/>
        </w:rPr>
        <w:t>E. 3.3</w:t>
      </w:r>
    </w:p>
    <w:p>
      <w:r>
        <w:t>En l'espèce, R.________ a eu connaissance le 10 juin 2016 de la déclaration de sinistre que M.________ a adressée à [...] Assurances SA le 9 mars 2016. Le délai de trois mois pour porter plainte a donc commencé à courir le 11 juin 2016 pour échoir le 11 septembre 2016, qui était un dimanche, et devait être reporté au lundi 12 septembre 2016. La plainte a donc été déposée en temps utile.</w:t>
      </w:r>
    </w:p>
    <w:p>
      <w:r>
        <w:t>- 7 -</w:t>
      </w:r>
    </w:p>
    <w:p>
      <w:r>
        <w:rPr>
          <w:b/>
        </w:rPr>
        <w:t>E. 3.4.1</w:t>
      </w:r>
    </w:p>
    <w:p>
      <w:r>
        <w:t>S'agissant du courrier du 9 mars 2016, R.________ ne précise pas, dans son acte de recours, quelle(s) infraction(s) aurai(en)t dû être retenue(s), ni en quoi elle(s) serai(en)t réalisée(s); elle se borne à indiquer que "les accusations" de M.________ "manquent de fondement" et que "le dommage [qu'elle a] subi est concret tant dans le cadre de son activité professionnelle à proprement parler que de la couverture d'assurance responsabilité civile que les normes de la profession l'obligent à conclure. Ce dommage est d'autant plus important que la [...] Assurances est une institution importante dans le monde des affaires". On peut en déduire que la recourante reproche à M.________ d'avoir porté atteinte à son honneur par les propos tenus dans le courrier en cause, lequel aurait ainsi un caractère diffamatoire, voire calomnieux.</w:t>
      </w:r>
    </w:p>
    <w:p>
      <w:r>
        <w:rPr>
          <w:b/>
        </w:rPr>
        <w:t>E. 3.4.2</w:t>
      </w:r>
    </w:p>
    <w:p>
      <w:r>
        <w:t>Selon l'art. 173 ch. 1 CP, se rend coupable de diffamation notamment celui qui, en s'adressant à un tiers, aura accusé une personne ou jeté sur elle le soupçon de tenir une conduite contraire à l'honneur, ou de tout autre fait propre à porter atteinte à sa considération. Aux termes de l'art. 174 ch. 1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Ces deux dispositions protègent la réputation d'être une personne honorable, c'est-à-dire de se comporter comme une personne digne a coutume de le faire selon les conceptions généralement reçues (ATF 132 IV 112 consid. 2.1; ATF 128 IV 53 consid.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consid. 2.1.1; ATF 133 IV 308 consid. 8.5.1). Il ne suffit</w:t>
      </w:r>
    </w:p>
    <w:p>
      <w:r>
        <w:t>- 8 - pas d'abaisser une personne dans la bonne opinion qu'elle a d'elle-même ou dans les qualités qu'elle croit avoir, notamment dans le cadre de ses activités profession-nelles, artistiques, politiques ou sportives (ATF 119 IV 47 consid. 2a; ATF 117 IV 27 consid. 2c; ATF 116 IV 205 consid. 2, JT 1992 IV 107; Dupuis et alii, op. cit., n. 4 ad rem. prél. aux art. 173 à 178 CP, p. 1014, et la doctrine citée). Si l'allégation litigieuse ne porte atteinte qu'à la considération dont jouit le lésé dans sa profession ou ses affaires, il n'est pas visé par les art. 173 ss CP (ATF 115 IV 44 consid.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ATF 133 IV 308 consid. 8.5.1 précité ; CREP 26 mai 2015/361 consid. 2.2).</w:t>
      </w:r>
    </w:p>
    <w:p>
      <w:r>
        <w:rPr>
          <w:b/>
        </w:rPr>
        <w:t>E. 3.4.3</w:t>
      </w:r>
    </w:p>
    <w:p>
      <w:r>
        <w:t>En l'espèce, le courrier du 9 mars 2016, adressé à l'assureur respon-sabilité civile de M.________, concerne l'activité déployée par la recourante au sein de l'étude du prénommé, en particulier dans le dossier ayant donné lieu à la déclaration de sinistre. Si cette lettre – qui fait état de ses "carences avérées" et de la résiliation de son contrat de travail – n'est certes pas flatteuse pour la recourante, force est de constater que son contenu n'est de nature à porter atteinte qu'à la considération dont elle jouit dans sa profession, si bien que les art. 173 ss CP ne sauraient trouver application. De toute manière, on ne saurait considérer que la teneur de cette lettre fait apparaître la recourante comme méprisable.</w:t>
      </w:r>
    </w:p>
    <w:p>
      <w:r>
        <w:rPr>
          <w:b/>
        </w:rPr>
        <w:t>E. 3.5.1</w:t>
      </w:r>
    </w:p>
    <w:p>
      <w:r>
        <w:t>La recourante soutient ensuite que les propos contenus dans le courrier du 23 juin 2016 de M.________ "remplissent bel et bien les conditions de l'infraction de contrainte, pour le moins au stade de la tentative, de même que celles de diffamation, voire de calomnie". Dans son acte de recours, R.________ ne fait toutefois état que du prétendu conflit d'intérêts invoqué à l'encontre de son avocate et de la tentative de M.________ de "la convaincre de ne pas assumer ce mandat", sans parler du passage qui la concerne personnellement, à savoir que "son vrai visage</w:t>
      </w:r>
    </w:p>
    <w:p>
      <w:r>
        <w:t>- 9 - et son comportement déplorable à l'égard du soussigné et à certains membres de l'Etude ne soient portés au grand jour"; sur ce point, elle se borne à indiquer que M.________ a "[complété] sa lettre par des propos à caractère diffamatoire tendant à [l']inciter à renoncer à faire valoir ses droits".</w:t>
      </w:r>
    </w:p>
    <w:p>
      <w:r>
        <w:rPr>
          <w:b/>
        </w:rPr>
        <w:t>E. 3.5.2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Quant à l’infraction de menaces – invoquée dans la plainte –, réprimée par l’art. 180 CP, elle suppose que l'auteur ait émis une menace, qu'elle soit grave et qu'elle ait eu pour conséquence que la victime ait été alarmée ou effrayée. Si l'auteur cherche à influencer le lésé, alors seule l'infraction de contrainte est applicable, la menace entrant en concours imparfait avec cette infraction (ATF 141 IV 1 consid. 3.2.3; ATF 99 IV 212 consid. 1b).</w:t>
      </w:r>
    </w:p>
    <w:p>
      <w:r>
        <w:rPr>
          <w:b/>
        </w:rPr>
        <w:t>E. 3.5.3</w:t>
      </w:r>
    </w:p>
    <w:p>
      <w:r>
        <w:t>En l'espèce, il convient tout d'abord de relever que la prétendue tentative de contrainte dirigée contre l'avocate [...] dans le courrier du 23 juin 2016, concernant un éventuel conflit d'intérêts, ne lèse tout au plus qu'indirectement la recourante, si bien que celle-ci n'a pas la qualité de partie plaignante ni la qualité pour recourir sur ce point, faute d'intérêt juridiquement protégé (cf. consid. 1.2 supra).</w:t>
      </w:r>
    </w:p>
    <w:p>
      <w:r>
        <w:t>- 10 -</w:t>
      </w:r>
    </w:p>
    <w:p>
      <w:r>
        <w:rPr>
          <w:b/>
        </w:rPr>
        <w:t>E. 3.5.4</w:t>
      </w:r>
    </w:p>
    <w:p>
      <w:r>
        <w:t>S'agissant des propos qui la concernent directement, la recourante, qui n'en fait pas état dans son acte de recours, n'a visiblement pas ressenti qu'ils seraient de nature à l'entraver dans sa liberté d'action; elle ne le soutient en tous les cas pas. Dans ces circonstances, l'infraction de contrainte ou de tentative de contrainte ne saurait entrer en ligne de compte. Il en va de même pour l'infraction de menaces, dans la mesure où la recourante n'a jamais affirmé avoir été effrayée par la teneur dudit courrier. La recourante fait en revanche valoir que les propos la visant auraient un caractère diffamatoire. On ne voit toutefois pas que l'affirmation selon laquelle elle aurait eu à l'égard de M.________ et à certains membres de l'Etude un "comportement déplorable" soit suffisamment caractérisée pour faire apparaître la recourante comme une personne méprisable, condition indispensable à la réalisation des infractions contre l’honneur (cf. consid. 3.4.2 supra). Les propos incriminés apparaissent plutôt comme un jugement de valeur, ce qui est insuffisant pour la réalisation de l'infraction de diffamation (ATF 117 IV 27 consid. 2c).</w:t>
      </w:r>
    </w:p>
    <w:p>
      <w:r>
        <w:rPr>
          <w:b/>
        </w:rPr>
        <w:t>E. 3.6</w:t>
      </w:r>
    </w:p>
    <w:p>
      <w:r>
        <w:t>Il résulte de ce qui précède que c'est à bon droit que le procureur a rendu une ordonnance de non-entrée en matière.</w:t>
      </w:r>
    </w:p>
    <w:p>
      <w:r>
        <w:rPr>
          <w:b/>
        </w:rPr>
        <w:t>E. 4</w:t>
      </w:r>
    </w:p>
    <w:p>
      <w:r>
        <w:t>Le recours, manifestement mal fondé, doit donc être rejeté, dans la mesure où il est recevable (cf. consid. 3.5.3 supra), et l’ordonnance de non-entrée en matière du 4 octobre 2016 confirmée. Les frais de la procédure de recours, constitués en l’espèce du seul émolument d'arrêt (art. 422 al. 1 CPP), par 1'100 fr. (art. 20 al. 1 TFIP [tarif des frais de procédure et indemnités en matière pénale du 28 septembre 2010 ; RSV 312.03.1]), seront mis à la charge de la recourante, qui succombe (art. 428 al. 1 CPP).</w:t>
      </w:r>
    </w:p>
    <w:p>
      <w:r>
        <w:t>- 11 - Par ces motifs, la Chambre des recours pénale prononce : I. Le recours est rejeté dans la mesure où il est recevable. II. L'ordonnance du 4 octobre 2016 est confirmée. III. Les frais d’arrêt, par 1'100 fr. (mille cent francs), sont mis à la charge de R.________. IV. L’arrêt est exécutoire. Le président : La greffière : Du Le présent arrêt, dont la rédaction a été approuvée à huis clos, est notifié, par l'envoi d'une copie complète, à : - Mme [...], avocate (pour R.________),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