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PE16.018220 vom 27. September 2016</w:t>
      </w:r>
    </w:p>
    <w:p>
      <w:r>
        <w:t>VD Tribunal cantonal, 2016-09-27, FR</w:t>
      </w:r>
    </w:p>
    <w:p>
      <w:r>
        <w:rPr>
          <w:b/>
        </w:rPr>
        <w:t xml:space="preserve">Quelle: </w:t>
      </w:r>
      <w:r>
        <w:t>https://mcp.opencaselaw.ch/entscheid/vd_gerichte_PE16.018220</w:t>
      </w:r>
    </w:p>
    <w:p>
      <w:r>
        <w:t>FR: VD_GERICHTE PE16.018220 du 27 septembre 2016</w:t>
      </w:r>
    </w:p>
    <w:p>
      <w:r>
        <w:t>IT: VD_GERICHTE PE16.018220 del 27 settembre 2016</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w:t>
      </w:r>
    </w:p>
    <w:p>
      <w:r>
        <w:t>- 4 -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X.________ contre le Procureur de l’arrondissement de La Côte P.________ (art. 13 LVCPP [loi vaudoise d’introduction du code de procédure pénale suisse du 19 mai 2009 ; RSV 312.01]).</w:t>
      </w:r>
    </w:p>
    <w:p>
      <w:r>
        <w:rPr>
          <w:b/>
        </w:rPr>
        <w:t>E. 2.1</w:t>
      </w:r>
    </w:p>
    <w:p>
      <w:r>
        <w:t>; TF 1B_415/2011 du 25 octobre 2011 consid. 2.2 ; CREP 20 novembre 2014/835). Pour le surplus, il ne ressort pas des pièces produites par le requérant que ce procureur aurait classé une première plainte déposée par X.________ à l’encontre d’B.Z.________, étant au demeurant relevé que ce seul élément ne serait pas susceptible de fonder une apparence de prévention et de justifier la récusation du procureur. Enfin, le fait que X.________ envisage de déposer une plainte pénale à l’encontre le procureur P.________ – ou qu’il l’ait déjà fait – ne permet pas non plus de présumer que le sentiment d’inimité que nourrit le requérant à l’encontre de ce procureur soit réciproque. Au vu de ce qui précède, X.________ ne rend pas vraisemblable l’existence d’un quelconque élément permettant de suspecter P.________ de prévention. Il n’existe donc aucun motif de récusation.</w:t>
      </w:r>
    </w:p>
    <w:p>
      <w:r>
        <w:rPr>
          <w:b/>
        </w:rPr>
        <w:t>E. 2.2</w:t>
      </w:r>
    </w:p>
    <w:p>
      <w:r>
        <w:t>En l’espèce, dans ses courriers des 7 et 21 septembre 2016, X.________ se contente de soutenir que le Procureur P.________ pourrait manquer d’objectivité dès lors qu’il instruit déjà une procédure pénale dirigée à son encontre dans le cadre de laquelle il a notamment ordonné sa mise en détention provisoire et qu’il aurait manifesté son intention de ne pas donner suite à une précédente plainte pénale déposée par X.________ à l’encontre d’B.Z.________. Comme l’a à juste titre relevé le procureur dans sa prise de position, le requérant ne fait état d’aucun motif de récusation au sens de l’art. 56 CPP. En particulier, le fait de demander la mise en détention provisoire du requérant ne saurait être interprété comme la manifestation d’une quelconque apparence de prévention. En effet, le procureur est en l’espèce chargé d’instruire différentes plaintes pénales réciproques et le fait qu’il ait estimé nécessaire de placer le requérant en détention provisoire dans le cadre de la première affaire ne l’empêche pas</w:t>
      </w:r>
    </w:p>
    <w:p>
      <w:r>
        <w:t>- 7 - d’instruire la seconde de manière objective et circonstanciée. Dès lors que les faits dénoncés par le requérant sont en lien avec ceux qui ont conduit à l’ouverture de l’instruction dirigée contre lui, l’administration rationnelle de la justice commande au contraire que l'ensemble des faits soient élucidés par le même magistrat (TF 1B_105/2013 du 21 mai 2013 consid.</w:t>
      </w:r>
    </w:p>
    <w:p>
      <w:r>
        <w:rPr>
          <w:b/>
        </w:rPr>
        <w:t>E. 3</w:t>
      </w:r>
    </w:p>
    <w:p>
      <w:r>
        <w:t>En définitive, la demande de récusation déposée le 7 septembre 2016 par X.________ contre le Procureur P.________ doit être rejetée. Les frais de la présente procédure, constitués en l’espèce du seul émolument de décision (art. 422 al. 1 CPP), par 770 fr. (art. 20 al. 1 TFIP [tarif des frais de procédure et indemnités en matière pénale du 28 septembre 2010 ; RSV 312.03.1]), seront mis à la charge du requérant, conformément à l'art. 59 al. 4 CPP.</w:t>
      </w:r>
    </w:p>
    <w:p>
      <w:r>
        <w:t>- 8 - Par ces motifs, la Chambre des recours pénale prononce : I. La demande de récusation présentée le 7 septembre 2016 par X.________ contre le Procureur P.________ est rejetée. II. Les frais de la décision, par 770 fr. (sept cent septante francs), sont mis à la charge de X.________. III. La décision est exécutoire. Le président : La greffière : Du Le présent arrêt,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