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PE16.018084 vom 27. September 2018</w:t>
      </w:r>
    </w:p>
    <w:p>
      <w:r>
        <w:t>VD Tribunal cantonal, 2018-09-27, FR</w:t>
      </w:r>
    </w:p>
    <w:p>
      <w:r>
        <w:rPr>
          <w:b/>
        </w:rPr>
        <w:t xml:space="preserve">Quelle: </w:t>
      </w:r>
      <w:r>
        <w:t>https://mcp.opencaselaw.ch/entscheid/vd_gerichte_PE16.018084</w:t>
      </w:r>
    </w:p>
    <w:p>
      <w:r>
        <w:t>FR: VD_GERICHTE PE16.018084 du 27 septembre 2018</w:t>
      </w:r>
    </w:p>
    <w:p>
      <w:r>
        <w:t>IT: VD_GERICHTE PE16.018084 del 27 settembre 2018</w:t>
      </w:r>
    </w:p>
    <w:p>
      <w:pPr>
        <w:pStyle w:val="Heading2"/>
      </w:pPr>
      <w:r>
        <w:t>Erwägungen</w:t>
      </w:r>
    </w:p>
    <w:p>
      <w:r>
        <w:rPr>
          <w:b/>
        </w:rPr>
        <w:t>E. 2</w:t>
      </w:r>
    </w:p>
    <w:p>
      <w:r>
        <w:t>août 2018 consid. 4.2 et les réf.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2.1.4 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(ch. 1). Dans les cas de très peu de gravité, le juge pourra prononcer une peine privative de liberté de trois ans au plus ou une peine pécuniaire (ch. 2).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142 IV 119 consid. 2.1 ; ATF 138 IV 130 consid. 2.1 ; TF 6B_55/2017 du 24 mars 2017 consid. 2.2). 2.1.5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- 14 -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TF 135 IV 76 consid. 5.2).</w:t>
      </w:r>
    </w:p>
    <w:p>
      <w:r>
        <w:rPr>
          <w:b/>
        </w:rPr>
        <w:t>E. 2.2</w:t>
      </w:r>
    </w:p>
    <w:p>
      <w:r>
        <w:t>En l'espèce, le procureur a considéré que les mesures d'instruction requises par la recourante, soit l'audition des parties et la mise en œuvre d'une nouvelle expertise – voir le complément de l'expertise déjà réalisée – ne se justifiaient pas. Selon lui, les conclusions de l'expertise, dont il n'y avait aucune raison de s'écarter, permettaient de retenir que le testament daté du 27 avril 1989 était authentique et qu'il n'y avait aucun élément probant laissant penser que A.H.________ aurait falsifié ce document. Il a également estimé que les confrontations ou auditions requises ne donneraient qu'un éclairage sur les relations existant entre les parties, ce qui ne concernait pas la procédure ni ne serait de nature à modifier l'état de fait tel qu'il ressortait du dossier. Cette appréciation ne saurait être suivie. Tout d'abord, il convient de relever que l'analyse faite par l'expert ne repose pas sur tous les éléments utiles et en particulier sur ceux mis à jour par Me J.________, curateur de D.H.________, au sujet de l'intimée (P. 26), étant précisé que ces éléments n'ont pas encore été instruits. Par ailleurs, l'expert a lui- même admis que l'analyse de la signature du défunt n'avait pas pu se faire dans les règles de l'art à défaut d'avoir suffisamment d'échantillons de ladite signature sur d'autres documents (P. 17/1 ch. 5.5). En outre, la</w:t>
      </w:r>
    </w:p>
    <w:p>
      <w:r>
        <w:t>- 15 - recourante fait valoir de manière convaincante que toutes les analyses scientifiques n'ont pas été menées, notamment pour analyser la date du papier sur lequel le testament litigieux a été rédigé et expliquer la présence de sillons non encrés et de crayon gris sur celui-ci. Il faut en déduire que ces éléments ébranlent la crédibilité de l'expertise. Il convient dès lors de donner suite à la réquisition de la recourante de mettre en œuvre une deuxième expertise. Au surplus, l'examen du dossier révèle certains éléments très troublants: l'intimée, qui a des talents artistiques, a tenté de faire breveter au niveau européen une méthode de reconnaissance et de reproduction d'écritures manuscrites (P. 27/5 et 27/6). Des essais de copie de certaines lettres du testament litigieux ont été découverts au domicile de l'intimée. Cette dernière fait l'objet d'une enquête pour faux dans les titres et obtention frauduleuse d'une prestation pour avoir présenté un titre de transport falsifié (PE16.015385, arrêts CREP du 23 février 2017/108 et du</w:t>
      </w:r>
    </w:p>
    <w:p>
      <w:r>
        <w:rPr>
          <w:b/>
        </w:rPr>
        <w:t>E. 7</w:t>
      </w:r>
    </w:p>
    <w:p>
      <w:r>
        <w:t>août 2017/537). Le testament litigieux a vraisemblablement d'abord été rédigé au crayon gris – y compris la signature – puis les phrases ont été recouvertes à l'encre alors que le testateur, ancien professeur de chimie à l'EPFL, donnant peu avant sa mort encore des conférences et pressenti pour le prix Nobel, n'avait apparemment pas de difficulté pour écrire. Les circonstances de la découverte du testament litigieux par la prévenue ne sont pas élucidées. Ce testament déshérite la plaignante au motif qu'elle aurait harcelé son père, ce qu'elle conteste formellement, et il ne fait pas mention de l'autre fille du défunt, X.________. De plus, le testament litigieux est daté du jour de la mort de feu B.H.________, ce qui assure qu'il annule toutes les dispositions antérieures, dont le testament daté du 24 avril 1985 qui avait été exécuté. Enfin, l'intimée n'était pas d'accord avec le partage consécutif à ce testament et tentait d'en remettre en cause la validité (P. 48). Or, l'audition de l'intimée et sa confrontation avec la recourante sont vraisemblablement susceptibles de donner des éclairages sur les éléments encore mal établis cités ci-dessus, notamment sur les circonstances de la découverte du testament litigieux et sur les relations</w:t>
      </w:r>
    </w:p>
    <w:p>
      <w:r>
        <w:t>- 16 - qui existaient entre la recourante et son défunt père. Il convient dès lors donner suite aux mesures d'instruction énumérées par la recourante (P. 33 et 35) avec, en sus, l'audition de Me J.________, curateur de l'épouse du défunt, qui avait préconisé – au vu de ce qu'il avait vu dans la maison occupée par l'intimée – une perquisition de son domicile et du contenu de son ordinateur, ce que le procureur a à tort laissé sans suite. Il convient en outre de requérir la production, en mains des personnes entendues, d'autres échantillons d'écritures et de signatures du défunt et de l'intimée. Il importe en effet qu'avant de mettre en œuvre la deuxième expertise, tous les éléments utiles puissent être instruits, qui permettront au nouvel expert de se prononcer en pleine et complète connaissance de cause. Enfin, il importe d'ouvrir également une enquête pour escroquerie. En effet, l'éventuelle confection d'un faux testament aurait été une tromperie astucieuse commise dans le dessein de mettre à néant le précédent testament et d'enrichir ainsi illégitimement la prévenue, gratifiée nouvellement des 5/8e de la succession (art. 146 CP). 3. En définitive, le recours formé par P.________ doit être admis et l’ordonnance de classement du 1er mars 2018 annulée. Le dossier est renvoyé au Ministère public de l’arrondissement de l'Est vaudois pour qu'il ouvre une enquête pour tentative d'escroquerie, qu'il procède aux mesures d'instructions requises par la recourante les 22 septembre 2017 et 19 janvier 2018, et pour qu'il mette en œuvre une nouvelle expertise à la lumière des éléments qui auront été révélés par ces mesures. Au vu de l'issue du recours, il n'y a pas lieu de donner suite à la demande de débats de la recourante. Les frais de la procédure de recours, constitués en l'espèce de l’émolument d'arrêt, par 1’650 fr. (art. 20 al. 1 TFIP [Tarif des frais de procédure et indemnités en matière pénale du 28 septembre 2010 ; RSV 312.03.1]), seront mis à la charge de l'intimée, qui succombe dès lors qu'elle a conclu au rejet du recours (art. 428 al. 1 CPP).</w:t>
      </w:r>
    </w:p>
    <w:p>
      <w:r>
        <w:t>- 17 - La recourante qui a obtenu gain de cause et qui a procédé avec l'assistance d’un conseil de choix, a droit à une indemnité pour les dépenses occasionnées dans la procédure de recours (art. 436 al. 1 et 3 CPP). Au vu des deux écritures produites – qui reprennent pour l'essentiel les éléments déjà exposés dans les écritures précédentes – 5 heures d'activité seront retenues. Au tarif horaire de 300 fr. (art. 26a al. 3 TFIP), c'est ainsi un montant total de 1'616 fr. 50, TVA comprise, qui sera alloué à la recourante, à la charge de l’Etat (art. 436 al. 3 CPP). Par ces motifs, la Chambre des recours pénale prononce : I. Le recours est admis. II. L'ordonnance du 1er mars 2018 est annulée. III. Le dossier de la cause est renvoyé au Ministère public de l’arrondissement de l'Est vaudois pour qu'il procède dans le sens des considérants. IV. Une indemnité de 1'616 fr. 50 (mille six cent seize francs et cinquante centimes) est allouée à la recourante P.________, à la charge de l'Etat. V. Les frais d'arrêt, par 1'650 fr. (mille six cent cinquante francs), sont mis à la charge de l'intimée A.H.________. VI. L’arrêt est exécutoire. Le président : La greffière :</w:t>
      </w:r>
    </w:p>
    <w:p>
      <w:r>
        <w:t>- 18 - Du Le présent arrêt, dont la rédaction a été approuvée à huis clos, est notifié, par l'envoi d'une copie complète, à : - Me Christophe Wilhelm, avocat (pour P.________), - Me Nicolas Gillard, avocat (pour A.H.________), - Ministère public central, et communiqué à : - M. le Procureur de l'arrondissement de l'Est vaudois, - Me J.________, curateur de D.H.________,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