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PE16.018063 vom 14. Mai 2019</w:t>
      </w:r>
    </w:p>
    <w:p>
      <w:r>
        <w:t>VD Tribunal cantonal, 2019-05-14, FR</w:t>
      </w:r>
    </w:p>
    <w:p>
      <w:r>
        <w:rPr>
          <w:b/>
        </w:rPr>
        <w:t xml:space="preserve">Quelle: </w:t>
      </w:r>
      <w:r>
        <w:t>https://mcp.opencaselaw.ch/entscheid/vd_gerichte_PE16.018063</w:t>
      </w:r>
    </w:p>
    <w:p>
      <w:r>
        <w:t>FR: VD_GERICHTE PE16.018063 du 14 mai 2019</w:t>
      </w:r>
    </w:p>
    <w:p>
      <w:r>
        <w:t>IT: VD_GERICHTE PE16.018063 del 14 maggio 2019</w:t>
      </w:r>
    </w:p>
    <w:p>
      <w:pPr>
        <w:pStyle w:val="Heading2"/>
      </w:pPr>
      <w:r>
        <w:t>Erwägungen</w:t>
      </w:r>
    </w:p>
    <w:p>
      <w:r>
        <w:rPr>
          <w:b/>
        </w:rPr>
        <w:t>E. 12</w:t>
      </w:r>
    </w:p>
    <w:p>
      <w:r>
        <w:t>mai 2015, 16 juillet 2015 et 31 mars 2017, qui doit être fixée pour sanctionner l’activité délictueuse faisant l’objet de la présente procédure. L’appel de Z.________ doit en conséquence être admis dans cette mesure. 6. La condamnation de l’appelant étant confirmée, il n’y a pas lieu de modifier le sort des frais de la procédure de première instance, que le Tribunal correctionnel était fondé à mettre à la charge du prévenu en application de l’art. 426 al. 1, 1re phrase, CPP. 7. 7.1 Conformément à l’art. 51 CP (Code pénal suisse du 21 décembre 1937 ; RS 311.0), la détention subie depuis le jugement de première instance sera déduite de la peine privative de liberté prononcée. 7.2 Le maintien en exécution anticipée de peine de l’appelant sera en outre ordonné pour garantir l’exécution de la peine, vu les risque de fuite et de récidive qu’il présente (art. 221 al. 1 let. a et c CPP). 8. En définitive, l’appel doit être partiellement admis et le jugement entrepris réformé dans le sens des considérants qui précèdent. Sur la base de la liste des opérations produite par Me Nicolas Mattenberger (P. 84), dont il n’y pas lieu de s’écarter si ce n’est pour tenir compte du temps consacré à l’audience du 18 septembre 2019, auquel il sera encore ajouté 1 heure pour les opérations ultérieures, une indemnité pour la procédure d’appel d’un montant de 2'235 fr. 85, correspondant à 10 heures de travail d’avocat au tarif horaire de 180 fr., par 1'800 fr., des</w:t>
      </w:r>
    </w:p>
    <w:p>
      <w:r>
        <w:t>- 23 - débours forfaitaires à concurrence de 2 % (et non 5 % comme allégués ; cf. art. 3bis al. 1 RAJ [Règlement sur l’assistance judiciaire en matière civile du 7 décembre 2010 ; BLV 211.02.3], applicable par renvoi de l’art. 26b TFIP [Tarif des frais de procédure et indemnités en matière pénale du 28 septembre 2010 ; BLV 312.03.1]), par 36 fr., deux vacations à 120 fr., par 240 fr., et la TVA, par 159 fr. 85, sera allouée au défenseur d’office de Z.________. Vu l’issue de la cause, les frais de la procédure d’appel, par 4'395 fr. 85, constitués de l’émolument d’audience et de jugement, par 2'160 fr. (art. 21 al. 1 et 2 TFIP), et de l’indemnité due au défenseur d’office de l’appelant, par 2'235 fr. 85, seront mis par deux tiers, soit par 2'930 fr. 55, à la charge de Z.________ (art. 428 al. 1, 1re phrase, CPP), le solde étant laissé à la charge de l’Etat. L’appelant ne sera toutefois tenu de rembourser à l’Etat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