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PE16.018012 vom 14. August 2017</w:t>
      </w:r>
    </w:p>
    <w:p>
      <w:r>
        <w:t>VD Tribunal cantonal, 2017-08-14, FR</w:t>
      </w:r>
    </w:p>
    <w:p>
      <w:r>
        <w:rPr>
          <w:b/>
        </w:rPr>
        <w:t xml:space="preserve">Quelle: </w:t>
      </w:r>
      <w:r>
        <w:t>https://mcp.opencaselaw.ch/entscheid/vd_gerichte_PE16.018012</w:t>
      </w:r>
    </w:p>
    <w:p>
      <w:r>
        <w:t>FR: VD_GERICHTE PE16.018012 du 14 août 2017</w:t>
      </w:r>
    </w:p>
    <w:p>
      <w:r>
        <w:t>IT: VD_GERICHTE PE16.018012 del 14 agosto 2017</w:t>
      </w:r>
    </w:p>
    <w:p>
      <w:pPr>
        <w:pStyle w:val="Heading2"/>
      </w:pPr>
      <w:r>
        <w:t>Erwägungen</w:t>
      </w:r>
    </w:p>
    <w:p>
      <w:r>
        <w:rPr>
          <w:b/>
        </w:rPr>
        <w:t>E. 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par le prévenu, qui qualité pour recourir (art. 382 al. 1 CPP) dans la mesure où il conteste la mise à sa charge des frais de procédure et le refus du Procureur de lui octroyer une indemnité au sens de l'art. 429 al. 1 let. a CPP (CREP 12 novembre 2013/677), le recours est recevable.</w:t>
      </w:r>
    </w:p>
    <w:p>
      <w:r>
        <w:rPr>
          <w:b/>
        </w:rPr>
        <w:t>E. 2.1</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w:t>
      </w:r>
    </w:p>
    <w:p>
      <w:r>
        <w:rPr>
          <w:b/>
        </w:rPr>
        <w:t>E. 2.2</w:t>
      </w:r>
    </w:p>
    <w:p>
      <w:r>
        <w:t>Le recourant conclut à la réforme de l’ordonnance entreprise en ce sens que les frais de procédure, par 200 fr., soient laissés à la</w:t>
      </w:r>
    </w:p>
    <w:p>
      <w:r>
        <w:t>- 4 - charge de l’Etat et qu’une indemnité au sens de l'art. 429 al. 1 let. a CPP d’un montant de 3'741 fr. 10 lui soit octroyée. La valeur litigieuse place donc le recours dans la compétence d’un membre de la Chambre des recours pénale en qualité de juge unique (art. 395 let. b CPP).</w:t>
      </w:r>
    </w:p>
    <w:p>
      <w:r>
        <w:rPr>
          <w:b/>
        </w:rPr>
        <w:t>E. 3.1</w:t>
      </w:r>
    </w:p>
    <w:p>
      <w:r>
        <w:t>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consid. 5.1.2; Chapuis, in : Kuhn/Jeanneret [éd.], Commentaire romand, Code de procédure pénale suisse, Bâle 2011, n. 2 ad art. 426 CPP) – et a provoqué ainsi l'ouverture d'une enquête pénale ou compliqué celle-ci (TF 6B_87/2012 du 27 avril 2012 consid. 1.2; ATF 116 Ia 162 consid. 2d p. 171 et cconsid. 2e p. 175). Seul un comportement fautif et contraire à une règle juridique, qui soit en relation de causalité avec les frais imputés, entre en ligne de compte (TF 6B_387/2009 du 20 octobre 2009 c. 1.1; TF 6B_215/2009 du</w:t>
      </w:r>
    </w:p>
    <w:p>
      <w:r>
        <w:t>- 5 - 23 juin 2009 c. 2.2; ATF 119 Ia 332 consid. 1b;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w:t>
      </w:r>
    </w:p>
    <w:p>
      <w:r>
        <w:rPr>
          <w:b/>
        </w:rPr>
        <w:t>E. 3.2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430 al. 1 CPP, l’autorité pénale peut réduire ou refuser cette indemnité notamment si le prévenu a provoqué illicitement et fautivement l’ouverture de la procédure ou a rendu plus difficile la conduite de celle-ci (ATF 137 IV 352 consid.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 TF 6B_77/2013 du 4 mars 2013 consid. 2.4; CREP 19 février 2014/207). L’art. 430 al. 1 let. a CPP pose les mêmes conditions que l’art. 426 CPP, de sorte que la doctrine et la jurisprudence est la même qu’en cas de mise de frais à la charge du prévenu libéré et que l’on peut s’y référer (ATF 137 IV 352 consid. 2.4.2, JdT 2012 IV 255; TF 6B_77/2013 du 4 mars 2013 consid. 2.3; Mizel/Rétornaz, in : Kuhn/ Jeanneret [éd.], Commentaire romand, Code de procédure pénale suisse, 2e éd., Bâle 2016, nn. 2 et 3 ad art. 430 CPP; Chapuis, in : Kuhn/Jeanneret [éd.], op. cit., n. 2 ad art. 426 CPP, pp. 1857 ss).</w:t>
      </w:r>
    </w:p>
    <w:p>
      <w:r>
        <w:t>- 6 -</w:t>
      </w:r>
    </w:p>
    <w:p>
      <w:r>
        <w:rPr>
          <w:b/>
        </w:rPr>
        <w:t>E. 3.3</w:t>
      </w:r>
    </w:p>
    <w:p>
      <w:r>
        <w:t>En l’occurrence, s’agissant du comportement d’A.S.________, il ressort notamment des pièces au dossier que peu de temps avant le prononcé du jugement de divorce, sa situation financière et personnelle s’est gravement dégradée et l’a plongé dans un état de détresse dans lequel il lui était impossible de gérer correctement ses affaires. Le recourant n’a pas été insensible à cette situation puisqu’il a tout fait pour ne pas vivre de l’aide sociale et, surtout, il a contacté un avocat dès l’instant où il a eu connaissance de la plainte pénale déposée par le SPAS à son encontre. Un arrangement sous la forme d’un plan de paiement a ainsi rapidement pu être trouvé entre les parties, et le recourant a engagé des démarches sur le plan civil afin d’obtenir la modification de la contribution d’entretien dont il est le débiteur et qui n’est pas adaptée à sa situation financière actuelle. Vu les éléments qui précèdent, il n’est pas possible d’imputer de manière incontestable un comportement fautif civilement répréhensible à A.S.________. Partant, A.S.________ ayant bénéficié d’un classement et n’ayant pas, vu sa situation, adopté un comportement fautif civilement répréhensible, les frais de procédure, par 200 fr., doivent être laissés à la charge de l’Etat et une indemnité au sens de l'art. 429 al. 1 let. a CPP doit être octroyée au recourant. Vu la liste des opérations produite, on peut retenir 5.2 heures d’avocat au tarif de 300 fr. l’heure (et non au tarif de 360 fr. l’heure réclamé, s’agissant d’une cause simple) et 8.1 heures d’avocat stagiaire au tarif de 160 fr. l’heure (art. 26a al. 3 TFIP [Tarif des frais de procédure et indemnités en matière pénale du 28 septembre 2010; RSV 312.03.1]), soit un montant de 2'856 fr. (1'560 + 1'296). Il s’y ajoute un montant de 228 fr. 50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ce qui porte l’indemnité due à 3'084 fr. 50.</w:t>
      </w:r>
    </w:p>
    <w:p>
      <w:r>
        <w:t>- 7 -</w:t>
      </w:r>
    </w:p>
    <w:p>
      <w:r>
        <w:rPr>
          <w:b/>
        </w:rPr>
        <w:t>E. 4</w:t>
      </w:r>
    </w:p>
    <w:p>
      <w:r>
        <w:t>A.S.________ a requis la désignation d’office de son défenseur pour la procédure de recours. Il y a lieu d’admettre cette requête en ce sens que Me Valentin Marmillod est désigné en qualité de défenseur d’office d’A.S.________ pour la procédure de recours (art. 133 CPP) et son indemnité fixée à 5 heures d’activité d’avocat, soit 900 fr. plus 72 fr. de TVA, soit un total de 972 fr., étant au demeurant précisé qu’une partie du recours avait été rédigée au bénéfice du travail effectué dans le cadre de la procédure civile ouverte parallèlement.</w:t>
      </w:r>
    </w:p>
    <w:p>
      <w:r>
        <w:rPr>
          <w:b/>
        </w:rPr>
        <w:t>E. 5</w:t>
      </w:r>
    </w:p>
    <w:p>
      <w:r>
        <w:t>Les frais de la procédure de recours, constitués de l’émolument d’arrêt, par 630 fr. (art. 20 al. 1 TFIP [Tarif des frais de procédure et indemnités en matière pénale du 28 septembre 2010; RSV 312.03.1]), ainsi que de l’indemnité due au défenseur d’office du recourant (art. 422 al. 1 et al. 2 let. a CPP), par 972 fr., seront laissés à la charge de l’Etat (art. 428 al. 4 CPP). Par ces motifs, le juge unique prononce : I. Le recours est admis. II. L’ordonnance du 8 juin 2017 est réformée aux chiffres II et III de son dispositif comme il suit : « II. Laisse les frais de procédure, par 200 fr., à la charge de l’Etat. III. Accorde à A.S.________ une indemnité au sens de l’art. 429 al. 1 let. a CPP à hauteur de 3'084 fr. 50 (trois mille huitante-quatre francs et cinquante centimes), à la charge de l’Etat ». L’ordonnance est maintenue pour le surplus. III. Me Valentin Marmillod est désigné comme défenseur d’office du recourant pour la présente procédure de recours et son indemnité est fixée à 972 fr. (neuf cent septante-deux francs).</w:t>
      </w:r>
    </w:p>
    <w:p>
      <w:r>
        <w:t>- 8 - IV. Les frais d’arrêt, par 630 fr. (six cent trente francs), ainsi que l’indemnité due au défenseur d’office du recourant, par 972 fr. (neuf cent septante-deux francs), sont laissés à la charge de l’Etat. V. L’arrêt est exécutoire. Le juge unique : La greffière : Du Le présent arrêt, dont la rédaction a été approuvée à huis clos, est notifié, par l'envoi d'une copie complète, à : - Me Valentin Marmillod, avocat (pour A.S.________), - Ministère public central, et communiqué à : - Service de prévoyance et d’aide sociale, - M. le Procureur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