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PE16.017985 vom 24. November 2017</w:t>
      </w:r>
    </w:p>
    <w:p>
      <w:r>
        <w:t>VD Tribunal cantonal, 2017-11-24, FR</w:t>
      </w:r>
    </w:p>
    <w:p>
      <w:r>
        <w:rPr>
          <w:b/>
        </w:rPr>
        <w:t xml:space="preserve">Quelle: </w:t>
      </w:r>
      <w:r>
        <w:t>https://mcp.opencaselaw.ch/entscheid/vd_gerichte_PE16.017985</w:t>
      </w:r>
    </w:p>
    <w:p>
      <w:r>
        <w:t>FR: VD_GERICHTE PE16.017985 du 24 novembre 2017</w:t>
      </w:r>
    </w:p>
    <w:p>
      <w:r>
        <w:t>IT: VD_GERICHTE PE16.017985 del 24 novembre 2017</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t>- 4 - En l’espèce, le recours a été interjeté, dans le délai légal, par le prévenu qui a la qualité pour recourir au sens de l’art. 382 al. 1 CPP, en tant qu’il porte sur le sort de la partie des frais de la procédure pénale mis à sa charge (Juge unique CREP 10 août 2015/577; Juge unique CREP 5 février 2014/96). Partant, le recours est recevable.</w:t>
      </w:r>
    </w:p>
    <w:p>
      <w:r>
        <w:rPr>
          <w:b/>
        </w:rPr>
        <w:t>E. 2</w:t>
      </w:r>
    </w:p>
    <w:p>
      <w:r>
        <w:t>Le recours porte uniquement sur la mise à la charge du recourant d’une part des frais de procédure, dont le recourant conclut qu’ils soient entièrement laissés à la charge de l’Etat de Vaud, subsidiairement qu’ils ne soient mis à la charge du prévenu qu’à hauteur de 500 fr., l’ordonnance querellée étant confirmée pour le surplus (cf. recours, p. 2). S’agissant de conséquences économiques accessoires de la décision (cf. Stephenson/Thiriet, in : Niggli/Heer/Wiprächtiger [éd.], Basler Kommentar, Schweizerische Strafprozessordnung, Jugendstrafprozessordnung, Art. 196-457 StPO – Art. 1-54 JStPO, 2e éd., Bâle 2014, n. 5 ad art. 395 CPP; Juge unique CREP 23 octobre 2013/643), l’art. 395 al. 1 let. b CPP entre en considération. Compte tenu de ce que le montant litigieux, de 1'500 fr. selon les conclusions principales du recours, est inférieur à 5'000 fr., le recours relève de la compétence d’un juge de la Chambre des recours pénale du Tribunal cantonal statuant comme juge unique (cf. art. 395 let. b CPP et art. 13 al. 2 LVCPP [loi d’introduction du Code de procédure pénale suisse; RSV 312.01]).</w:t>
      </w:r>
    </w:p>
    <w:p>
      <w:r>
        <w:rPr>
          <w:b/>
        </w:rPr>
        <w:t>E. 3</w:t>
      </w:r>
    </w:p>
    <w:p>
      <w:r>
        <w:t>L’art. 423 CPP prévoit que les frais de procédure sont mis à la charge de la Confédération ou du canton qui a conduit la procédure, sauf disposition contraire de la loi.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RS 101) et 6 par. 2 CEDH (Convention du 4 novembre 1950</w:t>
      </w:r>
    </w:p>
    <w:p>
      <w:r>
        <w:t>- 5 -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ATF 116 Ia 162).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(ATF 119 Ia 332 consid. 1b; ATF 116 Ia 162 consid. 2c). Le fait reproché doit constituer une violation claire de la norme de comportement (ATF 119 Ia 332 consid. 1b; ATF 116 Ia 162 consid. 2d). L'acte répréhensible n'a pas à être commis intentionnellement. La négligence suffit, sans qu'il soit besoin qu'elle soit grossière (ATF 109 Ia 160 consid.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consid. 2c; cf. également CREP 16 septembre 2013/578 consid. 2a).</w:t>
      </w:r>
    </w:p>
    <w:p>
      <w:r>
        <w:rPr>
          <w:b/>
        </w:rPr>
        <w:t>E. 4</w:t>
      </w:r>
    </w:p>
    <w:p>
      <w:r>
        <w:t>En l’espèce, la procureure tient pour civilement illicite de conserver des doses de méthadone en tout ou en partie inutilisées, eussent-elles été acquises licitement. La prescription de méthadone fait l’objet de bases légales de droit fédéral, à savoir les art. 3d et suivants LStup et l’OCStup</w:t>
      </w:r>
    </w:p>
    <w:p>
      <w:r>
        <w:t>- 6 - (Ordonnance sur le contrôle des stupéfiants; RS 812.121.1) qui en découle. Les art. 3d et 3e LStup prévoient une délégation de compétence en faveur des cantons en matière, notamment, de traitements de substitution. Le Département de l'intérieur et de la santé publique exerce les attributions conférées par la législation fédérale à l'autorité cantonale, sauf dispositions contraires des lois, arrêtés ou règlements (art. 1 al. 1 RStup [règlement sur les stupéfiants; RSV 812.11.1]). L’art. 6 let. g LSP (loi sur la santé publique; RSV 800.01) confère au Service de la santé publique la compétence de lutter notamment contre les toxicodépendances et autres addictions. Les normes de droit cantonal susmentionnées sont complétées par les « Directives du Médecin cantonal concernant la prescription, la dispensation et l’administration des stupéfiants destinés à la prise en charge de personnes dépendantes » (dernier état au 1er mai 2010). Cette réglementation ne comporte aucune norme qui obligerait le patient à utiliser ou à conserver sa méthadone de telle ou telle manière. En revanche, il est surprenant que le médecin traitant et le pharmacien responsable aient pu, durant des années, prescrire, respectivement fournir autant de méthadone au prévenu sans discerner que les conditions d’un traitement de substitution n’étaient plus réalisées. Cette lacune en matière de prophylaxie est toutefois imputable aux seuls professionnels de la santé. Conformément au règlement et aux directives de droit cantonal susmentionnés, ce manquement relève de la surveillance du Médecin cantonal. Faute de base légale, le recourant ne saurait se voir reprocher une faute civile. Au surplus, on ne voit pas davantage quelle norme de comportement non écrite résultant de l'ordre juridique suisse pris dans son ensemble il aurait violée. En effet, il n’a pas porté préjudice à quiconque, ni mis qui que ce soit en danger, dès lors qu’il vivait seul et que nul autre que lui n’avait accès au contenu de son frigorifique, s’agissant notamment d’autres toxicomanes, de trafiquants ou encore d’enfants ou d’adolescents. En l’absence de faute reposant sur une norme, il n’y a ainsi pas matière à mettre des frais à la charge du prévenu. Ces derniers</w:t>
      </w:r>
    </w:p>
    <w:p>
      <w:r>
        <w:t>- 7 - devront dès lors être entièrement laissés à la charge de l’Etat. Ce qui précède prive d’objet la conclusion subsidiaire du recours et le moyen déduit de la violation du droit d’être entendu. On ajoutera que le recourant a été poursuivi séparément, par ordonnance pénale du même jour, comprenant d’ailleurs une partie des frais de la cause.</w:t>
      </w:r>
    </w:p>
    <w:p>
      <w:r>
        <w:rPr>
          <w:b/>
        </w:rPr>
        <w:t>E. 5</w:t>
      </w:r>
    </w:p>
    <w:p>
      <w:r>
        <w:t>Il résulte de ce qui précède que le recours doit être admis et l’ordonnance du 15 septembre 2017 réformée au chiffre IV de son dispositif en ce sens que les frais de la procédure sont entièrement laissés à la charge de l’Etat; l’ordonnance sera confirmée pour le surplus. Les frais de la procédure de recours, constitués en l’espèce de l’émolument d'arrêt (art. 422 al. 1 CPP), par 630 fr. (art. 20 al. 1 TFIP [tarif des frais de procédure et indemnités en matière pénale du 28 septembre 2010; RSV 312.03.1]), et des frais imputables à la défense d’office (art. 422 al. 1 et 2 let. a CPP), fixés à 540 fr., plus la TVA par 43 fr. 20, soit à 583 fr. 20 au total, seront laissés à la charge de l’Etat (art. 423 al. 1 CPP).</w:t>
      </w:r>
    </w:p>
    <w:p>
      <w:r>
        <w:t>- 8 - Par ces motifs, le Juge unique prononce : I. Le recours est admis. II. L’ordonnance du 15 septembre 2017 est réformée au chiffre IV de son dispositif comme il suit : « IV. Laisse les frais de la procédure à la charge de l’Etat ». L’ordonnance est confirmée pour le surplus. III. L’indemnité allouée au défenseur d’office du recourant est fixée à 583 fr. 20 (cinq cent huitante-trois francs et vingt centimes). IV. Les frais d’arrêt, par 630 fr. (six cent trente francs), ainsi que l’indemnité due au défenseur d’office du recourant, par 583 fr. 20 (cinq cent huitante-trois francs et vingt centimes), sont laissés à la charge de l’Etat. V. L’arrêt est exécutoire. Le juge unique : Le greffier : Du Le présent arrêt, dont la rédaction a été approuvée à huis clos, est notifié, par l'envoi d'une copie complète, à : - Me Aline Bonard, avocate (pour T.________), - Ministère public central, et communiqué à : - Mme la Procureure de l'arrondissement du Nord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