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PE16.017157 vom 3. Mai 2017</w:t>
      </w:r>
    </w:p>
    <w:p>
      <w:r>
        <w:t>VD Tribunal cantonal, 2017-05-03, FR</w:t>
      </w:r>
    </w:p>
    <w:p>
      <w:r>
        <w:rPr>
          <w:b/>
        </w:rPr>
        <w:t xml:space="preserve">Quelle: </w:t>
      </w:r>
      <w:r>
        <w:t>https://mcp.opencaselaw.ch/entscheid/vd_gerichte_PE16.017157</w:t>
      </w:r>
    </w:p>
    <w:p>
      <w:r>
        <w:t>FR: VD_GERICHTE PE16.017157 du 3 mai 2017</w:t>
      </w:r>
    </w:p>
    <w:p>
      <w:r>
        <w:t>IT: VD_GERICHTE PE16.017157 del 3 maggio 2017</w:t>
      </w:r>
    </w:p>
    <w:p>
      <w:pPr>
        <w:pStyle w:val="Heading2"/>
      </w:pPr>
      <w:r>
        <w:t>Volltext</w:t>
      </w:r>
    </w:p>
    <w:p>
      <w:r>
        <w:t>TRIBUNAL CANTONAL 294 PE16.017157-CPB CHAMBRE DE S RECO URS PEN ALE __________________________________________ Arrêt du 3 mai 2017 __________________ Composition : M. MAILLARD, président MM. Krieger et Perrot, juges Greffière : Mme Cattin ***** Art. 221 al. 1 let. c, 222, 393 al. 1 let. c CPP Statuant sur le recours interjeté le 28 avril 2017 par F.________ contre l’ordonnance de détention pour des motifs de sûreté rendue le 18 avril 2017 par le Tribunal des mesures de contrainte dans la cause n° PE16.017157-CPB, la Chambre des recours pénale considère : En fait : A. Le Ministère public de l’arrondissement du Nord vaudois a ouvert une instruction pénale à l’encontre de F.________ pour tentative d’escroquerie et incendie intentionnel. 351</w:t>
      </w:r>
    </w:p>
    <w:p>
      <w:r>
        <w:t>- 2 - Il est reproché au prévenu d'avoir, à [...], le 19 juin 2016 vers 23h45, de concert avec L.________ et accompagné de R.________, bouté le feu au véhicule Ford Focus immatriculé [...] détenu en leasing par B.________, mais conduit usuellement par la compagne de L.________, J.________. Le dessein imputé aux auteurs supposés de l’incendie était d'éviter à cette dernière de débourser une somme trop importante pour la valeur résiduelle du véhicule et une indemnité non négligeable en raison d'un kilométrage largement dépassé. La voiture a été entièrement calcinée, trois places de parc bitumées endommagées et un talus herbeux noirci. F.________ a été appréhendé par la police le 12 octobre 2016 et placé en détention provisoire par ordonnance du 14 octobre 2016 pour une durée de trois mois, soit au plus tard jusqu’au 12 janvier 2017. Cette ordonnance a été confirmée par la Chambre des recours pénale par arrêt du 25 octobre 2016. Par ordonnance du 27 décembre 2016, confirmée par arrêt du 5 janvier 2017 de la Chambre des recours pénale, puis par ordonnances des 28 février 2017 et 10 mars 2017, cette dernière ordonnance ayant également été confirmée par la Chambre des recours pénale par arrêt du 20 mars 2017, le Tribunal des mesures de contrainte a rejeté la demande de libération de la détention provisoire, respectivement prolongé la détention provisoire de l’intéressé, la dernière fois jusqu'au 12 mai 2017. B. Le 7 avril 2017, le Ministère public de l’arrondissement du Nord vaudois a engagé l’accusation contre F.________ pour dommages à la propriété et tentative d’escroquerie, subsidiairement complicité de tentative d’escroquerie et incendie intentionnel, devant le Tribunal correctionnel de l’arrondissement de la Broye et du Nord vaudois. Le même jour, le Procureur a requis la détention pour des motifs de sûreté de F.________, aux motifs que celui-ci présentait toujours un risque de réitération.</w:t>
      </w:r>
    </w:p>
    <w:p>
      <w:r>
        <w:t>- 3 - Par ordonnance du 18 avril 2017, le Tribunal des mesures de contrainte a ordonné la détention pour des motifs de sûreté de F.________ (I), a fixé la durée maximale de la détention pour des motifs de sûreté jusqu’au 5 juillet 2017 (II) et a dit que les frais de l’ordonnance suivaient le sort de la cause (III). C. Par acte du 28 avril 2017, F.________ a recouru auprès de la Chambre des recours pénale du Tribunal cantonal contre cette ordonnance en concluant, sous suite de frais et dépens, à sa libération immédiate.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F.________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w:t>
      </w:r>
    </w:p>
    <w:p>
      <w:r>
        <w:t>- 4 -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2.2 En l’espèce, comme la Chambre des recours pénale l’a relevé dans ses précédents arrêts, auxquels il peut être renvoyé, il existe des soupçons suffisants de culpabilité à l’encontre de F.________, ce que celui- ci ne conteste d’ailleurs pas. 3. 3.1 L'art. 221 al. 1 let. c CPP pose trois conditions pour admettre un risque de récidive. En premier lieu, le prévenu doit en principe déjà avoir commis des infractions du même genre (pour une exception à cette exigence, cf. consid. 3.1.2 ci-après) et il doit s'agir de crimes ou de délits graves. Deuxièmement, la sécurité d'autrui doit être sérieusement compromise. Troisièmement, une réitération doit, sur la base d'un pronostic, être sérieusement à craindre (TF 1B_373/2016 du 23 novembre 2016 consid. 2.5 destiné à la publication). 3.1.1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w:t>
      </w:r>
    </w:p>
    <w:p>
      <w:r>
        <w:t>- 5 -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par exemple lorsque celles-ci sont commises en bande et par métier dans le cadre d'un trafic de cannabis d'une certaine envergure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(TF 1B_373/2016 précité consid. 2.9). 3.1.2 Bien qu'une application littérale de l'art. 221 al. 1 let. c CPP suppose l'existence d'antécédents, le risque de réitération peut être également admis dans des cas particuliers alors qu'il n'existe qu'un antécédent, voire aucun dans les cas les plus graves. La prévention du</w:t>
      </w:r>
    </w:p>
    <w:p>
      <w:r>
        <w:t>- 6 -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TF 1B_373/2016 précité consid. 2.3.1). 3.2 En l’espèce, le recourant conteste pour la quatrième fois le risque de réitération en invoquant les mêmes motifs. En l’absence de tout élément nouveau, la Cour de céans se réfère dans leur intégralité aux considérants qu'elle a développés dans ses arrêts des 25 octobre 2016, 5 janvier 2017 et 20 mars 2017, qui conservent leur pertinence. Ce procédé est admissible au regard des exigences du droit d’être entendu (TF 1B_149/2010 du 1er juin 2010 consid. 1.3 ; CREP 23 octobre 2012/634). Pour le reste, le recourant plaide le fond qui ne relève pas de la compétence de la Cour de céans, mais du Tribunal correctionnel. Le risque de récidive est ainsi manifestement réalisé et justifie la détention pour des motifs de sûreté de F.________. 3.3 La détention pour des motifs de sûreté étant justifiée par le seul risque de réitération, il n'est pas nécessaire d’examiner l'existence des risques de fuite et de collusion (TF 1B_249/2011 du 7 juin 2011 consid. 2.4), contestés brièvement par le recourant à l’appui de son recours, mais pas retenus par le Tribunal des mesures de contrainte. 3.4 3.4.1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à l’art. 237 CPP sont un succédané à la détention provisoire ou pour des motifs de sûreté ; elles poursuivent le même objectif – éviter la fuite, la réitération ou la collusion – tout en étant moins</w:t>
      </w:r>
    </w:p>
    <w:p>
      <w:r>
        <w:t>- 7 - sévères ; le tribunal doit les prononcer à la place de la détention provisoire ou pour des motifs de sûreté si elles permettent d’empêcher la concrétisation du risque (Schmocker, op. cit., n. 2 ad art. 237 CPP). Le prévenu peut être astreint à fournir des sûretés (art. 237 al. 2 let. a CPP). Dans ce cadre, il a l’obligation de fournir les données suffisantes et, si nécessaire, vérifiables permettant d’établir le montant des sûretés (Schmocker, op. cit., n. 4 ad art. 238 CPP). 3.4.2 En l’espèce, aucune mesure de substitution n’est à même de prévenir le risque retenu. En particulier, le versement d’un montant de 25'000 fr. à titre de sûretés, dont on ne connaît ni l’origine ni les modalités de versement, n’est pas de nature à empêcher le recourant de commettre de nouvelles infractions et est donc insuffisant pour parer au risque de récidive au vu des intérêts juridiques à protéger. 4. 4.1 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4.2 En l’espèce, le recourant est détenu depuis le 12 octobre 2016, soit depuis bientôt sept mois. Compte tenu de la gravité des infractions qui lui sont reprochées et de ses antécédents, le principe de la proportionnalité de la détention pour des motifs de sûreté, ordonnée</w:t>
      </w:r>
    </w:p>
    <w:p>
      <w:r>
        <w:t>- 8 - jusqu’au 15 juillet 2017, demeure pleinement respecté, l’audience de jugement étant fixée aux 28 et 29 juin 2017. 5. Il résulte de ce qui précède que le recours, manifestement mal fondé, doit être rejeté sans autres échanges d’écritures (art. 390 al. 2 CPP).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43 fr. 20, soit à 583 fr. 20 au total, seront mis à la charge de F.________,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avril 2017 est confirmée. III. L’indemnité allouée au défenseur d’office de F.________ est fixée à 583 fr. 20 (cinq cent huitante-trois francs et vingt centimes).</w:t>
      </w:r>
    </w:p>
    <w:p>
      <w:r>
        <w:t>- 9 - IV. Les frais d’arrêt, par 880 fr. (huit cent huitante francs), ainsi que l’indemnité due au défenseur d’office de F.________, par 583 fr. 20 (cinq cent huitante-trois francs et vingt centimes), sont mis à la charge de ce dernier. V. Le remboursement à l'Etat de l'indemnité allouée au chiffre III ci-dessus ne sera exigible que pour autant que la situation économique de F.________ se soit améliorée. VI. L’arrêt est exécutoire. Le président : La greffière : Du Le présent arrêt, dont la rédaction a été approuvée à huis clos, est notifié, par l'envoi d'une copie complète, à : - Me Véronique Fontana, avocate (pour F.________), - Ministère public central, et communiqué à : - Mme la Présidente du Tribunal des mesures de contrainte, - M. le Procureur de l’arrondissement du Nord vaudois,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