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PE16.016912 vom 1. November 2016</w:t>
      </w:r>
    </w:p>
    <w:p>
      <w:r>
        <w:t>VD Tribunal cantonal, 2016-11-01, FR</w:t>
      </w:r>
    </w:p>
    <w:p>
      <w:r>
        <w:rPr>
          <w:b/>
        </w:rPr>
        <w:t xml:space="preserve">Quelle: </w:t>
      </w:r>
      <w:r>
        <w:t>https://mcp.opencaselaw.ch/entscheid/vd_gerichte_PE16.016912</w:t>
      </w:r>
    </w:p>
    <w:p>
      <w:r>
        <w:t>FR: VD_GERICHTE PE16.016912 du 1 novembre 2016</w:t>
      </w:r>
    </w:p>
    <w:p>
      <w:r>
        <w:t>IT: VD_GERICHTE PE16.016912 del 1 novembre 2016</w:t>
      </w:r>
    </w:p>
    <w:p>
      <w:pPr>
        <w:pStyle w:val="Heading2"/>
      </w:pPr>
      <w:r>
        <w:t>Erwägungen</w:t>
      </w:r>
    </w:p>
    <w:p>
      <w:r>
        <w:rPr>
          <w:b/>
        </w:rPr>
        <w:t>E. 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w:t>
      </w:r>
    </w:p>
    <w:p>
      <w:r>
        <w:t>- 4 - procédure pénale suisse; RSV 312.01]; art. 80 LOJV [loi d’organisation judiciaire; RSV 173.01]). Le recours a été interjeté à temps par la plaignante qui a qualité pour recourir (cf. art. 382 al. 1 CPP) et dans les formes prescrites (art. 385 al. 1 CPP), de sorte qu'il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w:t>
      </w:r>
    </w:p>
    <w:p>
      <w:r>
        <w:rPr>
          <w:b/>
        </w:rPr>
        <w:t>E. 2.1</w:t>
      </w:r>
    </w:p>
    <w:p>
      <w:r>
        <w:t>et réf., ainsi que, sur tous ces points, CREP 22 juin 2016/414 consid. 4.2).</w:t>
      </w:r>
    </w:p>
    <w:p>
      <w:r>
        <w:rPr>
          <w:b/>
        </w:rPr>
        <w:t>E. 3</w:t>
      </w:r>
    </w:p>
    <w:p>
      <w:r>
        <w:t>La recourante invoque une violation de l’art. 321 CP.</w:t>
      </w:r>
    </w:p>
    <w:p>
      <w:r>
        <w:rPr>
          <w:b/>
        </w:rPr>
        <w:t>E. 3.1</w:t>
      </w:r>
    </w:p>
    <w:p>
      <w:r>
        <w:t>Se rendent coupable de violation du secret professionnel au sens de cette disposition, les ecclésiastiques, avocats, défenseurs en justice, notaires, conseils en brevets, contrôleurs astreints au secret professionnel en vertu du code des obligations, médecins, dentistes, pharmaciens, sages-femmes, ainsi que leurs auxiliaires, qui auront révélé un secret à eux confié en vertu de leur profession ou dont ils avaient eu connaissance dans l'exercice de celle-ci (art. 321 al. 1 CP). La révélation ne sera pas punissable si elle a été faite avec le consentement de l'intéressé, ou si sur la proposition du détenteur du secret, l'autorité supérieure ou l'autorité de surveillance l'a autorisé par écrit (al. 2).</w:t>
      </w:r>
    </w:p>
    <w:p>
      <w:r>
        <w:t>- 5 - Au sens de cet article, il est nécessaire que l'auteur, ayant qualité de l'une des professions énumérées ci-dessus, ait révélé intentionnellement un secret qui lui avait été confié en raison de sa profession à un tiers non-autorisé, qui doit en prendre connaissance. Le secret professionnel de l'avocat s'étend à tout ce dont ce dernier a eu connaissance ou a appris en raison de son mandat, y compris le comportement du client à son égard. Selon la pratique, réclamer en justice le paiement des honoraires implique que l'avocat ait été délié de son obligation de se taire par son client ou par l'autorité compétente. Si le défenseur se limite à des informations sur ses heures de travail sur les frais en ayant résulté et sur les procédures ayant engendré des coûts, il n'a y pas de violation de l'intérêt du mandant au maintien du secret (SJ 2006 I p. 489, spéc. pp.495 et 496, consid. 5.3.1). En outre, la jurisprudence fédérale admet que le consentement donné au mandataire peut être tacite, ce qui sera le cas par exemple lorsque le mandataire révèle des indications secrètes et que le mandant ne réagit pas (JT 1973 IV 63 ; ATF 106 IV 133 ; Dupuis et alii, Petit commentaire, Code pénal, Bâle 2012, n. 42 ad. art 321 CP et les références citées).</w:t>
      </w:r>
    </w:p>
    <w:p>
      <w:r>
        <w:rPr>
          <w:b/>
        </w:rPr>
        <w:t>E. 3.2</w:t>
      </w:r>
    </w:p>
    <w:p>
      <w:r>
        <w:t>En l'espèce, au vu de la nature des informations révélées par P.________ pour justifier une facture complémentaire d'honoraires, les éléments constitutifs d'une infraction à l'art. 321 al. 1 CP ne sont pas réunis. Quand bien même ils le seraient, le comportement deP.________ ne serait pas illicite, N.________ ayant tacitement consenti à cette divulgation (art. 321 al. 2 CP)P.________ n'a pas demandé à être relevé de son secret professionnel auprès de la Cour administrative du Tribunal cantonal vaudois en application de l'art. 36 al. 1 let. g RAOJ (Règlement d'administration de l'ordre judiciaire du 13 novembre 2007 ; RSV 173.01.3), mais la recourante a saisi la Commission genevoise de modération, ce qui vaut consentement à la levée de secret professionnel par acte concluant et exclut l'application l'art. 321 CP.</w:t>
      </w:r>
    </w:p>
    <w:p>
      <w:r>
        <w:rPr>
          <w:b/>
        </w:rPr>
        <w:t>E. 4</w:t>
      </w:r>
    </w:p>
    <w:p>
      <w:r>
        <w:t>La recourante se dit également victime d’abus d’autorité.</w:t>
      </w:r>
    </w:p>
    <w:p>
      <w:r>
        <w:t>- 6 -</w:t>
      </w:r>
    </w:p>
    <w:p>
      <w:r>
        <w:rPr>
          <w:b/>
        </w:rPr>
        <w:t>E. 4.1</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ATF 114 IV 41 consid. 2 p. 43; ATF 113 IV 29 consid. 1 p. 30). Cet abus doit être davantage qu'une simple violation des devoirs de service (ATF 114 IV 41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6B_831/2011 du 14 février 2012 consid. 1.2 in fine). L'existence par dol éventuel de l'un ou l'autre de ces desseins suffit (TF 6B_1169/2014 du 6 octobre 2015 consid.</w:t>
      </w:r>
    </w:p>
    <w:p>
      <w:r>
        <w:rPr>
          <w:b/>
        </w:rPr>
        <w:t>E. 4.2</w:t>
      </w:r>
    </w:p>
    <w:p>
      <w:r>
        <w:t>En l'espèce, P.________ n'est ni membre d'une autorité, ni fonctionnaire, puisqu'il exerce en tant qu'avocat indépendant. Partant, les</w:t>
      </w:r>
    </w:p>
    <w:p>
      <w:r>
        <w:t>- 7 - éléments constitutifs de l'infraction réprimée par l'art. 312 CP font à l'évidence défaut.</w:t>
      </w:r>
    </w:p>
    <w:p>
      <w:r>
        <w:rPr>
          <w:b/>
        </w:rPr>
        <w:t>E. 5</w:t>
      </w:r>
    </w:p>
    <w:p>
      <w:r>
        <w:t>Enfin, la recourante se plaint d'une atteinte à la personnalité. Comme l'a relevé le procureur, les faits décrits dans la plainte et ses annexes, en particulier le contenu de la lettre écrite le 17 avril 2015 par P.________ à la Justice de paix de Nyon, ne révèlent pas d'atteinte à la considération de la plaignante et pas davantage d'atteinte à son honneur pouvant être constitutive de diffamation, calomnie ou injures (art. 173, 174 et 177 CP). Quand bien même tel serait le cas, ces infractions ne se poursuivent que sur plainte. Or, il ressort qu'à tout le moins en janvier 2016, date de sa réponse à la demande déposée par P.________ en paiement de ses honoraires, la plaignante connaissait les faits invoqués dans sa plainte du 18 août 2016. Déposée ce jour-là, ladite plainte l'a été après l'échéance du délai de 3 mois dès la connaissance des faits et de l'auteur. Elle est donc tardive (art. 31 CP).</w:t>
      </w:r>
    </w:p>
    <w:p>
      <w:r>
        <w:rPr>
          <w:b/>
        </w:rPr>
        <w:t>E. 6</w:t>
      </w:r>
    </w:p>
    <w:p>
      <w:r>
        <w:t>Il résulte de ce qui précède que le recours, mal fondé, doit être rejeté et l'ordonnance de non-entrée en matière du 9 septembre 2016 confirmée sans autre échange d'écritures (art. 390 al. 2 CPP). Les frais de la procédure de recours, constitués en l'espèce du seul émolument d'arrêt, par 770 fr. (art. 422 al. 1 CPP et 20 al. 1 TFIP [Tarif des frais de procédure et indemnités en matière pénale du 28 septembre 2010 ; RSV 312.03.1]), seront mis à la charge de la recourante (art. 428 al. 1 CPP).</w:t>
      </w:r>
    </w:p>
    <w:p>
      <w:r>
        <w:t>- 8 - Par ces motifs, la Chambre des recours pénale prononce : I. Le recours est rejeté. II. L’ordonnance du 9 septembre 2016 est confirmée. III. Les frais d’arrêt, par 770 fr. (sept cent septante francs), sont mis à la charge d'N.________. IV. L’arrêt est exécutoire. Le président : La greffière : Du Le présent arrêt, dont la rédaction a été approuvée à huis clos, est notifié, par l'envoi d'une copie complète, à : - Mme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