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PE16.016377 vom 28. Dezember 2016</w:t>
      </w:r>
    </w:p>
    <w:p>
      <w:r>
        <w:t>VD Tribunal cantonal, 2016-12-28, FR</w:t>
      </w:r>
    </w:p>
    <w:p>
      <w:r>
        <w:rPr>
          <w:b/>
        </w:rPr>
        <w:t xml:space="preserve">Quelle: </w:t>
      </w:r>
      <w:r>
        <w:t>https://mcp.opencaselaw.ch/entscheid/vd_gerichte_PE16.016377</w:t>
      </w:r>
    </w:p>
    <w:p>
      <w:r>
        <w:t>FR: VD_GERICHTE PE16.016377 du 28 décembre 2016</w:t>
      </w:r>
    </w:p>
    <w:p>
      <w:r>
        <w:t>IT: VD_GERICHTE PE16.016377 del 28 dicembre 2016</w:t>
      </w:r>
    </w:p>
    <w:p>
      <w:pPr>
        <w:pStyle w:val="Heading2"/>
      </w:pPr>
      <w:r>
        <w:t>Erwägungen</w:t>
      </w:r>
    </w:p>
    <w:p>
      <w:r>
        <w:rPr>
          <w:b/>
        </w:rPr>
        <w:t>E. 1</w:t>
      </w:r>
    </w:p>
    <w:p>
      <w:r>
        <w:t>Aux termes de l’art. 393 al. 1 let. c CPP (Code de procédure pénale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w:t>
      </w:r>
    </w:p>
    <w:p>
      <w:r>
        <w:t>- 4 - ou le terme de cette détention.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 En l’espèce, le recours a été interjeté en temps utile et dans les formes prescrites (cf. art. 385 al. 1 CPP) par le prévenu qui a qualité pour recourir (art. 382 CPP), de sorte qu’il est recevable.</w:t>
      </w:r>
    </w:p>
    <w:p>
      <w:r>
        <w:rPr>
          <w:b/>
        </w:rPr>
        <w:t>E. 2</w:t>
      </w:r>
    </w:p>
    <w:p>
      <w:r>
        <w:t>Le recourant conteste l’existence d’un risque de collusion (sic), tel que retenu dans l’ordonnance entreprise.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consid. 3.1 non publié aux ATF 138 IV 81). La gravité de l’infraction ne peut pas, à elle seule, justifier la prolongation de la détention, même si elle permet souvent de présumer un danger de</w:t>
      </w:r>
    </w:p>
    <w:p>
      <w:r>
        <w:t>- 5 - fuite en raison de l’importance de la peine dont le prévenu est menacé (ibidem).</w:t>
      </w:r>
    </w:p>
    <w:p>
      <w:r>
        <w:rPr>
          <w:b/>
        </w:rPr>
        <w:t>E. 2.2</w:t>
      </w:r>
    </w:p>
    <w:p>
      <w:r>
        <w:t>En l’espèce, le recourant est sans attache sociale ou professionnelle en Suisse où il réside de manière illégale. C’est dès lors à raison que le risque de fuite – d’ailleurs déjà retenu dans les ordonnances des 27 août et 18 décembre 2016 sans que cela soit contesté – a été considéré comme demeurant concret. En effet, au vu de la peine privative de liberté à laquelle s’expose le recourant sur la base des faits qui lui sont reprochés, il est fortement à craindre qu’il tente de se soustraire aux autorités pénales, cela d’autant plus qu’il minimise son implication dans les faits en question. Les conditions posées par l’art. 221 al. 1 CPP étant alternatives (TF 1B_242/2016 du 21 juillet 2016 consid. 5), les arguments du recourant relatifs à l’absence d’un risque de collusion ne sont pas déterminants, le risque de fuite avéré étant suffisant pour justifier la prolongation de la détention.</w:t>
      </w:r>
    </w:p>
    <w:p>
      <w:r>
        <w:rPr>
          <w:b/>
        </w:rPr>
        <w:t>E. 3</w:t>
      </w:r>
    </w:p>
    <w:p>
      <w:r>
        <w:t>Le recourant conteste également le refus du tribunal d’administrer une preuve de la défense sous forme d’un enregistrement vidéo. S’agissant de l’établissement des faits, il convient, en premier lieu, de rappeler que cette mesure d’instruction doit être présentée au procureur en charge de l’enquête. En outre, les indices de culpabilité à l’encontre du recourant sont suffisants sans qu’il soit nécessaire d’ordonner d’autres mesures d’instruction pour retenir que la détention est justifiée.</w:t>
      </w:r>
    </w:p>
    <w:p>
      <w:r>
        <w:rPr>
          <w:b/>
        </w:rPr>
        <w:t>E. 4</w:t>
      </w:r>
    </w:p>
    <w:p>
      <w:r>
        <w:t>Enfin, le recourant semble contester l’infraction d’agression pour plaider la rixe. Cet argument n’est toutefois pas déterminant dans la mesure où il a été reconnu comme auteur des coups portés à la victime et</w:t>
      </w:r>
    </w:p>
    <w:p>
      <w:r>
        <w:t>- 6 - que la rixe est passible d’une peine privative de liberté de trois ans au maximum. Partant, le principe de la proportionnalité de la détention provisoire, ordonnée pour une durée supplémentaire de trois mois, demeure dans tous les cas pleinement respecté (cf. art. 212 al. 3 CPP; ATF 133 I 168 consid. 4.1; ATF 132 I 21 consid. 4.1)</w:t>
      </w:r>
    </w:p>
    <w:p>
      <w:r>
        <w:rPr>
          <w:b/>
        </w:rPr>
        <w:t>E. 5</w:t>
      </w:r>
    </w:p>
    <w:p>
      <w:r>
        <w:t>En définitive, le recours, manifestement mal fondé, doit être rejeté sans autre échange d’écritures (art. 390 al. 2 CPP) et l'ordonnance du 19 décembre 2016 confirmée. Les frais de la procédure de recours, constitués en l’espèce de l’émolument d'arrêt, par 660 fr. (art. 20 al. 1 TFIP [tarif des frais judiciaires de procédure et indemnités en matière pénale du 28 septembre 2010; RSV 312.03.1]) et des frais imputables à la défense d’office (art. 422 al. 1 et 2 let. a CPP), fixés à 540 fr., plus la TVA par 43 fr. 20, soit à 583 fr. 20 au total, seront mis à la charge de N.________,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19 décembre 2016 est confirmée. III. Les frais d’arrêt, par 660 fr. (six cent soixante francs), ainsi que l'indemnité due au défenseur d'office du recourant, par 583 fr. 20 (cinq cent huitante-trois francs et vingt centimes), sont mis à la charge de N.________.</w:t>
      </w:r>
    </w:p>
    <w:p>
      <w:r>
        <w:t>- 7 - IV. Le remboursement à l'Etat de l'indemnité allouée au chiffre III ci-dessus sera exigible pour autant que la situation du recourant se soit améliorée. V. L’arrêt est exécutoire. Le président : La greffière : Du Le présent arrêt, dont la rédaction a été approuvée à huis clos, est notifié, par l'envoi d'une copie complète, à : - Me Raphaël Brochellaz (pour N.________), - Ministère public central, et communiqué à : - Mme la Présidente du Tribunal des mesures de contrainte, - Mme la Procureure de l’arrondissement de Lausanne,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