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PE16.016328 vom 28. Februar 2017</w:t>
      </w:r>
    </w:p>
    <w:p>
      <w:r>
        <w:t>VD Tribunal cantonal, 2017-02-28, FR</w:t>
      </w:r>
    </w:p>
    <w:p>
      <w:r>
        <w:rPr>
          <w:b/>
        </w:rPr>
        <w:t xml:space="preserve">Quelle: </w:t>
      </w:r>
      <w:r>
        <w:t>https://mcp.opencaselaw.ch/entscheid/vd_gerichte_PE16.016328</w:t>
      </w:r>
    </w:p>
    <w:p>
      <w:r>
        <w:t>FR: VD_GERICHTE PE16.016328 du 28 février 2017</w:t>
      </w:r>
    </w:p>
    <w:p>
      <w:r>
        <w:t>IT: VD_GERICHTE PE16.016328 del 28 febbraio 2017</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w:t>
      </w:r>
    </w:p>
    <w:p>
      <w:r>
        <w:t>- 3 - suisse, Bâle 2011, n. 5 ad art. 356 CPP ; Riklin, in : Niggli/Heer/Wiprächtiger [éd.], Basler Kommentar, Schweizerische Strafprozessordnung, Jugendstraf-prozessordnung, 2e éd., Bâle 2014, n. 2 ad art. 356 CPP ; CREP 9 septembre 2016/605 ;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devant l’autorité compétente par le prévenu qui a qualité pour recourir (art. 382 al. 1 CPP) et dans les formes prescrites (art. 385 al. 1 CPP), le recours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w:t>
      </w:r>
    </w:p>
    <w:p>
      <w:r>
        <w:t>- 4 -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l’ordonnance pénale du 9 janvier 2017 a été envoyée au recourant le jour même sous pli recommandé. Celui-là a retiré ce pli au guichet postal le 10 janvier 2017. Le délai de dix jours pour former opposition a donc commencé à courir le lendemain, soit le 11 janvier 2017, et il est arrivé à échéance le vendredi 20 janvier 2017. Remise à la poste le 23 janvier 2017, l’opposition formée par N.________ est donc manifestement tardive. Par ailleurs, les arguments du recourant, qui plaide le fond, ne changent rien à ce constat, puisque la Cour de céans est uniquement compétente pour examiner le bien-fondé du prononcé attaqué, soit le caractère tardif ou non de l’opposition formée par le recourant à l’ordonnance pénale. Partant, dans la mesure où l'opposition, qui n'a pas été formée dans le délai légal, n'est pas recevable, le recourant ne peut remettre en cause l'ordonnance pénale à ce stade de la procédure. C’est ainsi à bon droit que le Tribunal de police de l’arrondissement de Lausanne a déclaré irrecevable l’opposition formée par N.________.</w:t>
      </w:r>
    </w:p>
    <w:p>
      <w:r>
        <w:t>- 5 -</w:t>
      </w:r>
    </w:p>
    <w:p>
      <w:r>
        <w:rPr>
          <w:b/>
        </w:rPr>
        <w:t>E. 3</w:t>
      </w:r>
    </w:p>
    <w:p>
      <w:r>
        <w:t>En définitive, le recours, manifestement mal fondé, doit être rejeté sans autre échange d’écritures (art. 390 al. 2 CPP) et le prononcé du 26 janvier 2017 confirmé. Les frais de la procédure de recours, constitués en l'espèce du seul émolument d’arrêt, par 550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26 janvier 2017 est confirmé. III. Les frais d’arrêt, par 550 fr. (cinq cent cinquante francs), sont mis à la charge de N.________. IV. L’arrêt est exécutoire. Le président : La greffière : Du Le présent arrêt, dont la rédaction a été approuvée à huis clos, est notifié, par l'envoi d'une copie complète, à : - M. N.________, - Ministère public central,</w:t>
      </w:r>
    </w:p>
    <w:p>
      <w:r>
        <w:t>- 6 - et communiqué à : - M. le Président du Tribunal de police de l’arrondissement de Lausanne, - Mme la Procureure de l’arrondissement de Lausanne, - Service de la population ( [...]1993), - Secrétariat d’Etat aux migrations, - Service des automobiles, - Police cantonale,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