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PE16.016263 vom 9. Februar 2017</w:t>
      </w:r>
    </w:p>
    <w:p>
      <w:r>
        <w:t>VD Tribunal cantonal, 2017-02-09, FR</w:t>
      </w:r>
    </w:p>
    <w:p>
      <w:r>
        <w:rPr>
          <w:b/>
        </w:rPr>
        <w:t xml:space="preserve">Quelle: </w:t>
      </w:r>
      <w:r>
        <w:t>https://mcp.opencaselaw.ch/entscheid/vd_gerichte_PE16.016263</w:t>
      </w:r>
    </w:p>
    <w:p>
      <w:r>
        <w:t>FR: VD_GERICHTE PE16.016263 du 9 février 2017</w:t>
      </w:r>
    </w:p>
    <w:p>
      <w:r>
        <w:t>IT: VD_GERICHTE PE16.016263 del 9 febbraio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w:t>
      </w:r>
    </w:p>
    <w:p>
      <w:r>
        <w:t>- 3 - l'opposition irrecevable, par exemple pour cause de tardiveté, est susceptible de recours selon les art. 393 ss CPP (Gilliéron/ 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- 4 -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20 septembre 2016 a été envoyée au recourant le jour même sous pli recommandé. Le recourant a retiré ce pli au guichet postal le 22 septembre 2016 (P. 8). Le délai pour former opposition a donc commencé à courir le lendemain, soit le 23 septembre 2016 et il est arrivé à échéance le lundi 3 octobre 2016. Remise à la poste le 7 décembre 2016, l’opposition formée par R.________ est donc manifestement tardive, ce que le recourant ne conteste d’ailleurs pas. Les arguments du recourant, qui plaide le fond, ne change rien à ce constat, puisque la Cour de céans est uniquement compétente pour examiner le bien-fondé du prononcé attaqué, soit le caractère tardif ou non de l’opposition formée par le recourant à l’ordonnance pénale. Partant, dans la mesure où l'opposition, qui n'a pas été formée dans le délai légal, n'est pas recevable, le recourant ne peut remettre en cause l'ordonnance pénale à ce stade de la procédure.</w:t>
      </w:r>
    </w:p>
    <w:p>
      <w:r>
        <w:t>- 5 - C’est ainsi à bon droit que le Tribunal de police de l’arrondissement de Lausanne a déclaré irrecevable l’opposition formée par R.________.</w:t>
      </w:r>
    </w:p>
    <w:p>
      <w:r>
        <w:rPr>
          <w:b/>
        </w:rPr>
        <w:t>E. 3</w:t>
      </w:r>
    </w:p>
    <w:p>
      <w:r>
        <w:t>En définitive, le recours, manifestement mal fondé, doit être rejeté sans autre échange d’écritures (art. 390 al. 2 CPP) et le prononcé du 20 janvier 2017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20 janvier 2017 est confirmé. III. Les frais d’arrêt, par 550 fr. (cinq cent cinquante francs), sont mis à la charge de R.________. IV. L’arrêt est exécutoire. Le président : La greffière : Du Le présent arrêt, dont la rédaction a été approuvée à huis clos, est notifié, par l'envoi d'une copie complète, à :</w:t>
      </w:r>
    </w:p>
    <w:p>
      <w:r>
        <w:t>- 6 - - M. R.________,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