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PE16.014674 vom 15. Februar 2018</w:t>
      </w:r>
    </w:p>
    <w:p>
      <w:r>
        <w:t>VD Tribunal cantonal, 2018-02-15, FR</w:t>
      </w:r>
    </w:p>
    <w:p>
      <w:r>
        <w:rPr>
          <w:b/>
        </w:rPr>
        <w:t xml:space="preserve">Quelle: </w:t>
      </w:r>
      <w:r>
        <w:t>https://mcp.opencaselaw.ch/entscheid/vd_gerichte_PE16.014674</w:t>
      </w:r>
    </w:p>
    <w:p>
      <w:r>
        <w:t>FR: VD_GERICHTE PE16.014674 du 15 février 2018</w:t>
      </w:r>
    </w:p>
    <w:p>
      <w:r>
        <w:t>IT: VD_GERICHTE PE16.014674 del 15 febbraio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H.________ est recevable.</w:t>
      </w:r>
    </w:p>
    <w:p>
      <w:r>
        <w:t>- 4 -</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En l’espèce, le recourant ne conteste pas, à juste titre, l’existence d'indices de culpabilité suffisants.</w:t>
      </w:r>
    </w:p>
    <w:p>
      <w:r>
        <w:rPr>
          <w:b/>
        </w:rPr>
        <w:t>E. 4.1</w:t>
      </w:r>
    </w:p>
    <w:p>
      <w:r>
        <w:t>Le recourant conteste l’existence d’un risque de fuite. Il soutient que sa détention tendrait uniquement à assurer sa présence à l’audience de jugement, qu’il serait délinquant primaire, qu’il aurait reconnu la majorité des faits reprochés, qu’il se serait toujours engagé à se présenter à l’audience de jugement et qu’au moment de son interpellation, il disposait de documents d’identité valides et était domicilié légalement en Italie. Il n’y aurait dès lors pas de raison de penser qu’il ne mettra pas sa situation à jour une fois libéré. Compte tenu de sa personnalité, de sa situation en Italie et des faits qui lui sont reprochés, il</w:t>
      </w:r>
    </w:p>
    <w:p>
      <w:r>
        <w:t>- 5 - n’existerait aucun risque particulier qu’il ne se présente pas l’audience de jugement, ce qui de surcroît ne suffirait pas à fonder la réalisation du risque de fuite.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w:t>
      </w:r>
    </w:p>
    <w:p>
      <w:r>
        <w:rPr>
          <w:b/>
        </w:rPr>
        <w:t>E. 4.3</w:t>
      </w:r>
    </w:p>
    <w:p>
      <w:r>
        <w:t>En l’espèce, H.________, ressortissant nigérien, n’a aucune attache avec la Suisse ni aucun domicile connu dans ce pays, où il est venu dans l’unique but d’y commettre des infractions. En outre, il n’est pas du tout sûr que l’Italie accepte son retour, comme l’a expliqué le Tribunal des mesures de contrainte, au vu des informations obtenues auprès du Service de la population. En effet, le recourant a quitté l’Italie depuis plusieurs années, son titre de séjour là-bas est échu et il ne bénéficie pas d’une protection subsidiaire des autorités italiennes, pas plus qu’il n’a été autorisé à séjourner dans ce pays pour des motifs humanitaires. Par ailleurs, le recourant risque plus qu’une peine de 19 mois de privation de liberté. On peut dès lors sérieusement craindre qu’il ne cherche, en cas de libération, à se soustraire aux poursuites pénales engagées contre lui. Au vu de ces éléments, du statut précaire du recourant et faute de nationalité italienne, voire d’un titre de séjour, le risque que le recourant ne tente de se soustraire à la poursuite pénale dirigée contre lui et à la sanction encourue est manifeste, que ce soit en disparaissant dans la clandestinité ou en partant à l’étranger.</w:t>
      </w:r>
    </w:p>
    <w:p>
      <w:r>
        <w:t>- 6 - L’existence d’un risque de fuite justifie donc le maintien en détention pour des motifs de sûreté du recourant.</w:t>
      </w:r>
    </w:p>
    <w:p>
      <w:r>
        <w:rPr>
          <w:b/>
        </w:rPr>
        <w:t>E. 5.1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Le juge de la détention – afin d'éviter qu'il n'empiète sur les compétences du juge du fond – ne tient pas compte de la possibilité éventuelle de l'octroi, par l'autorité de jugement, d'un sursis, d'un sursis partiel ou d'une libération conditionnelle, notamment s'il n'est pas d'emblée évident que cette dernière possibilité sera octroyée (TF 1B_153/2016 du 10 mai 2016 consid. 3.1 et les arrêts cités).</w:t>
      </w:r>
    </w:p>
    <w:p>
      <w:r>
        <w:rPr>
          <w:b/>
        </w:rPr>
        <w:t>E. 5.2</w:t>
      </w:r>
    </w:p>
    <w:p>
      <w:r>
        <w:t>En l’espèce, le recourant est détenu depuis le 25 juillet 2016, soit depuis moins de 19 mois. Les débats ont été fixés aux 9 et 10 avril 2018. Compte tenu des faits qui lui sont reprochés, le recourant s'expose à une peine privative de liberté d’une durée supérieure à celle de la détention provisoire subie à ce jour, respectivement à subir jusqu’aux débats. A cet égard, les comparaisons de situations, comme tente de le faire le recourant, ne sont pas pertinentes, chaque situation devant s’examiner au vu des individus et des circonstances qui leur sont propres. Le principe de la proportionnalité est donc respecté.</w:t>
      </w:r>
    </w:p>
    <w:p>
      <w:r>
        <w:t>- 7 - Par ailleurs, il n’est pas d’emblée évident que la libération conditionnelle serait octroyée au recourant, ce qui n’est de toute manière pas un critère à prendre en compte à ce stade de la procédure. Enfin, aucune mesure de substitution ne permettrait de pallier le risque de fuite retenu (art. 237 CPP).</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41 fr. 60, soit un total de 581 fr. 60, seront mis à la charge de H.________,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1er février 2018 est confirmée. III. L’indemnité allouée au défenseur d’office de H.________ est fixée à 581 fr. 60 (cinq cent huitante et un francs et soixante centimes), débours et TVA compris.</w:t>
      </w:r>
    </w:p>
    <w:p>
      <w:r>
        <w:t>- 8 - IV. Les frais du présent arrêt, par 770 fr. (sept cent septante francs), ainsi que l'indemnité due au défenseur d'office de H.________, par 581 fr. 60 (cinq cent huitante et un francs et soixante centimes), sont mis à la charge de ce dernier. V. Le remboursement à l'Etat de l'indemnité allouée au chiffre III ci-dessus ne sera exigible que pour autant que la situation économique de H.________ le permette. VI. L’arrêt est exécutoire. Le président : La greffière : Du Le présent arrêt, dont la rédaction a été approuvée à huis clos, est notifié, par l'envoi d'une copie complète, à : - Me Jean-Marc Courvoisier, avocat (pour H.________), - Ministère public central ; et communiqué à : - Mme la Présidente du Tribunal des mesures de contrainte, - M. le Procureur de l’arrondissement de Lausanne, - Tribunal d’arrondissement de Lausanne, greffe pénal,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