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PE16.014446 vom 26. Juni 2018</w:t>
      </w:r>
    </w:p>
    <w:p>
      <w:r>
        <w:t>VD Tribunal cantonal, 2018-06-26, FR</w:t>
      </w:r>
    </w:p>
    <w:p>
      <w:r>
        <w:rPr>
          <w:b/>
        </w:rPr>
        <w:t xml:space="preserve">Quelle: </w:t>
      </w:r>
      <w:r>
        <w:t>https://mcp.opencaselaw.ch/entscheid/vd_gerichte_PE16.014446</w:t>
      </w:r>
    </w:p>
    <w:p>
      <w:r>
        <w:t>FR: VD_GERICHTE PE16.014446 du 26 juin 2018</w:t>
      </w:r>
    </w:p>
    <w:p>
      <w:r>
        <w:t>IT: VD_GERICHTE PE16.014446 del 26 giugno 2018</w:t>
      </w:r>
    </w:p>
    <w:p>
      <w:pPr>
        <w:pStyle w:val="Heading2"/>
      </w:pPr>
      <w:r>
        <w:t>Erwägungen</w:t>
      </w:r>
    </w:p>
    <w:p>
      <w:r>
        <w:rPr>
          <w:b/>
        </w:rPr>
        <w:t>E. 1</w:t>
      </w:r>
    </w:p>
    <w:p>
      <w:r>
        <w:t>Originaire de [...],X.________ est né le [...] à [...]. Il a été élevé par ses parents et a grandi à [...]. Il a un grand frère. Il suit aujourd’hui des études à plein temps à la [...], à [...], ville dans laquelle il vit dans le cadre d’une collocation. Ne percevant aucun revenu, il est à la charge de ses parents. Le montant de sa prime d’assurance maladie s’élève à 360 fr. par mois. Il est en couple. Il projette de devenir enseignant. Le casier judiciaire suisse de X.________ fait mention de l’inscription suivante : - 10 août 2018, Ministère public du canton de Fribourg, violation grave des règles de la circulation routière, peine pécuniaire de 20 jours-amende à 20 fr. le jour, sursis à l’exécution de la peine, délai d’épreuve de deux ans, amende de 500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Le 20 juillet 2016 à 22h10, X.________ circulait au volant de la voiture [...] immatriculée [...], à la vitesse de 80 km/h environ, sur la route cantonale n° [...] reliant [...] à [...], au lieu-dit [...], sur la Commune de [...]. Alors qu’il était momentanément inattentif parce qu’il vérifiait régulièrement du coin de l’œil si son amie et passagère lui faisait la tête, il a heurté avec l’avant droit de son véhicule A.B.________, qui se trouvait à la hauteur du débouché du chemin du [...], aux abords du cimetière de [...]. L’instruction n’a pas permis de déterminer si la piétonne a voulu traverser l’artère principale, ni d’exclure que celle-ci se serait volontairement précipitée devant le véhicule pour mettre fin à ses jours. A.B.________, qui a percuté le capot moteur et le pare-brise, a été projetée en avant sur une quarantaine de mètres. Elle est décédée sur place des suites de ses blessures.</w:t>
      </w:r>
    </w:p>
    <w:p>
      <w:r>
        <w:t>- 11 - Lors des faits, X.________ conduisait sous l’influence de l’alcool, alors que, titulaire d’un permis de conduire à l’essai, il lui était imposé une limite de 0‰ d’alcool. Il avait consommé trois bières de 3 dl avant de conduire et la prise de sang effectuée à 00h40, soit 02h30 après les faits, indiquait un taux d’alcoolémie compris entre 0,06 et 0,16‰.</w:t>
      </w:r>
    </w:p>
    <w:p>
      <w:r>
        <w:rPr>
          <w:b/>
        </w:rPr>
        <w:t>E. 2.2</w:t>
      </w:r>
    </w:p>
    <w:p>
      <w:r>
        <w:t>Au droit de l’accident, la route principale direction [...] est large de 5,8 mètres et n’est pas éclairée. La chaussée, qui est en bon état d’entretien, comprend deux voies de circulation. Une quarantaine de mètres avant le lieu de l’accident, les courants du trafic sont successivement séparés par une ligne de sécurité, puis par une ligne de direction, laquelle débute approximativement au débouché du chemin [...], chemin qui permet d’accéder à l’entrée du cimetière de [...] et qui mène à la localité [...] sans devoir cheminer le long de l’artère principale. Quasiment en palier, elle est bordée à droite par une petite bande herbeuse et un mur en pierres surmontée d’une clôture métallique qui délimite le cimetière et masque fortement la visibilité à droite. De plus, en regardant depuis la route principale dans le sens utilisé par X.________, des pierres tombales, une bâtisse en béton et des arbres masquent encore plus la vision jusqu’au début du débouché du chemin [...], endroit où le mur et le treillis accuse encore une hauteur d’environ deux mètres. Après le chemin [...], qui débouche sur la route principale, un petit chemin piétonnier goudronné permettant de relier le centre du village de [...] est aménagé le long du bord droit de la route principale. Le chemin piétonnier est ensuite bordé à droite par le pré dans lequel gisait la victime. Dans le sens de circulation opposé, l’artère principale est bordée à droite par un talus herbeux, une clôture pour le bétail et un pâturage. De ce côté, l’accès à pied est malaisé et ne mène nulle part. La vitesse est limitée à 80 km/heure. Le soir des faits, il faisait beau, la chaussée était sèche et la température estivale.</w:t>
      </w:r>
    </w:p>
    <w:p>
      <w:r>
        <w:t>- 12 - Le point de choc a été délimité sur la partie droite de la voie de circulation empruntée par X.________, à la hauteur du débouché du chemin [...]. Le véhicule de X.________ a été endommagé à l’avant, au niveau du pare-chocs, du capot moteur, du pare-brise et des phares.</w:t>
      </w:r>
    </w:p>
    <w:p>
      <w:r>
        <w:rPr>
          <w:b/>
        </w:rPr>
        <w:t>E. 2.3</w:t>
      </w:r>
    </w:p>
    <w:p>
      <w:r>
        <w:t>Selon l’expertise médico-légale du 24 mai 2017, A.B.________ est décédée des suites d’un polytraumatisme extrêmement sévère avec, notamment, une hémorragie sous-arachnoïdienne diffuse et tétraventiculaire, une fracture de la base du crâne, un fracas costal, un hémo-pneumothorax bilatéral, une rupture complète de l’aorte thoracique au niveau de l’isthme, une facture/dislocation de la colonne vertébrale, de multiples fractures du bassin et des suffusions hémor-ragiques. A partir d’une reconstitution morphométrique 3D, des lésions constatées sur la victime et des dégâts sur la voiture, les experts ont conclu que la collision s’était probablement produite entre l’avant droit du véhicule et l’arrière légèrement oblique gauche de la victime. En d’autres termes, les experts ont relevé que le décès de A.B.________ était compatible avec l’accident de la circulation en cause, lors duquel la piétonne avait été heurtée au niveau dorsal gauche par le véhicule. Entendu aux débats de première instance, les experts [...] et [...] ont confirmé leurs conclusions et indiqué qu’ils leur étaient impossible de déterminer, sur la base des lésions et malgré les analyses morphométriques et reconstructives, la direction prise par D.B.________ et la vitesse de celle-ci au moment de la collision. En d roit : 1. Interjeté dans les formes et délais légaux par des parties ayant qualité pour recourir contre le jugement du tribunal de première instance qui a clos la procédure (art. 398 al. 1 CPP), l’appel est recevable.</w:t>
      </w:r>
    </w:p>
    <w:p>
      <w:r>
        <w:t>- 13 -</w:t>
      </w:r>
    </w:p>
    <w:p>
      <w:r>
        <w:rPr>
          <w:b/>
        </w:rPr>
        <w:t>E. 3</w:t>
      </w:r>
    </w:p>
    <w:p>
      <w:r>
        <w:t>Invoquant une constatation erronée et des faits et une violation de l'art. 10 CPP, les appelants estiment que les éléments du dossier permettent d'exclure toute éventualité de suicide de la victime. Ils relèvent que celle-ci avait conclu un nouveau contrat de travail quelques jours avant l'accident, qu'elle avait des projets de vacances et que son psychiatre auprès [...], le Dr [...], avait exclu toute possibilité de suicide. Ils soulignent également que les déclarations de la passagère du prévenu sont en contradiction avec l'expertise du 24 mai 2017, celle-ci indiquant que la victime avait été heurtée de dos, ce qui exclurait qu'elle se soit précipitée devant le véhicule du prévenu. Ils expliquent enfin que, selon les faits constatés par l'expertise, la victime cheminait sur la chaussée, en</w:t>
      </w:r>
    </w:p>
    <w:p>
      <w:r>
        <w:t>- 14 - direction de [...] et qu'elle a été heurtée de dos par l'intimé, qui ne l'a pas vue, car il ne regardait pas la route, mais sa compagne.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du 25 mars 2010 consid. 2.2.2).</w:t>
      </w:r>
    </w:p>
    <w:p>
      <w:r>
        <w:rPr>
          <w:b/>
        </w:rPr>
        <w:t>E. 3.2</w:t>
      </w:r>
    </w:p>
    <w:p>
      <w:r>
        <w:t>A l’instar du premier juge, on doit admettre qu'il existe un doute sérieux sur les intentions de A.B.________ au moment de l'accident et sur le fait qu'elle se serait volontairement précipitée devant le véhicule de l'intimé. Ce doute résulte des éléments suivants : Premièrement, D.B.________ souffrait de troubles dépressifs. Le jour des faits, elle a consulté la Dresse [...] en raison de la résurgence d'angoisses. Ce médecin a alors pris contact avec le Dr [...], le psychiatre de l'intéressée, et les praticiens se sont entendus pour que leur patiente</w:t>
      </w:r>
    </w:p>
    <w:p>
      <w:r>
        <w:t>- 15 - reprenne son traitement antérieur, concernant les angoisses et la dépression (pv n° 9 et 10). La Dresse [...] a alors prescrit à A.B.________ du Citalopram et de l'Haldol, soit deux anxiolytiques (ididem). Deuxièmement, A.B.________ avait été hospitalisée à la [...] du 16 au 20 novembre 2013 en raison d’un épisode aigu (P. 19). En automne 2014, elle avait à nouveau été hospitalisée à cet endroit, en raison d'une tentative de suicide au moyen de médicaments (cf. pv n° 10). En outre, selon le rapport du CHUV du 1er novembre 2014, elle avait également déjà fait plusieurs tentamen par le passé (P. 19). Troisièmement, quelques minutes avant sa mort, A.B.________ a consulté des sites Internet relatifs aux antidépresseurs et au suicide (P. 15, p. 7 ; P. 20). Elle avait par ailleurs déjà effectué de telles recherches plusieurs jours avant les faits, soit le 22 juin 2016 (P. 20). Quatrièmement, avant de sortir de chez elle, A.B.________ a dit à son époux qu'elle allait voir son amie [...], domiciliée au [...], à [...] (PV aud. 7). Elle ne s'est toutefois pas rendue chez la prénommée, mais aux abords du cimetière de [...], sis au chemin [...], à l'extérieur de la localité, côté [...], en bordure de la route principale [...], endroit dépourvu d'éclairage. Selon son époux, elle ne connaissait personne dans ce secteur et n'avait pas de raison de se rendre là-bas (PV aud. 7). Cinquièmement, l’intéressée rencontrait des difficultés personnelles. A cet égard, son époux a expliqué qu'elle faisait l'objet de ragots dans le village, relatifs à la prise de stupéfiants et à la prostitution (jgt, p. 11), ce sujet étant également revenu dans les messages échangés par A.B.________ peu avant les faits (P. 20, p. 2). Pour le reste, les éléments avancés par les appelants sont insuffisants pour exclure que A.B.________ aurait voulu se suicider le soir des faits et qu’elle se serait donc élancée devant la voiture du prévenu. En effet, d'une part, le fait d'avoir un emploi et des projets de vacances en famille ne constitue pas un empêchement à un tel acte. D'autre part, le</w:t>
      </w:r>
    </w:p>
    <w:p>
      <w:r>
        <w:t>- 16 - fait que le Dr [...] ait déclaré qu'il était dans l'incapacité de trouver un lien entre l'accident et la situation observée sur sa patiente ne permet pas d'exclure un suicide, étant relevé que ce médecin avait vu sa patiente pour la dernière fois le 1er juillet 2016, soit 20 jours avant l'accident. De plus, la position de la victime au moment de l'impact telle qu'elle résulte du rapport d'autopsie du 24 mai 2017 (cf. P. 32, p. 56) et des déclarations des experts entendus aux débats de première instance (cf. jgt, pp.17) n'est pas incompatible avec un suicide. Cela vaut d’autant plus que les conclusions de ceux-ci ne permettent pas de déterminer la direction prise par A.B.________ et la vitesse de celle-ci lors de la collision. Enfin, depuis le lieu où elle se trouvait avant l’accident, A.B.________ n’a pu qu’apercevoir les phares du véhicule du prévenu et entendre le bruit du moteur de celui- ci. Ainsi, elle a eu le temps de percevoir qu’une voiture approchait dans sa direction avant l’impact, de sorte qu’il ait difficilement compréhensible qu’elle n’ait pas agi en conséquence pour l’éviter, en restant, le cas échéant en se mettant, par exemple sur le côté de l’artère principale. Ainsi, la version des faits retenue par le tribunal en application du principe de la présomption d’innocence ne prête pas le flanc à la critique. Par conséquent, le grief des appelants doit être rejeté.</w:t>
      </w:r>
    </w:p>
    <w:p>
      <w:r>
        <w:rPr>
          <w:b/>
        </w:rPr>
        <w:t>E. 4</w:t>
      </w:r>
    </w:p>
    <w:p>
      <w:r>
        <w:t>Les appelants estiment que X.________ doit être condamné pour homicide par négligence. Ils mentionnent que les fautes commises par le prévenu sont graves, qu'en raison de sa consommation d'alcool il s'est mis dans un état où il n'était plus capable de réagir correctement et qu'il ne peut par conséquent se prévaloir du principe de la confiance, ni d'une rupture du lien de causalité.</w:t>
      </w:r>
    </w:p>
    <w:p>
      <w:r>
        <w:rPr>
          <w:b/>
        </w:rPr>
        <w:t>E. 4.1</w:t>
      </w:r>
    </w:p>
    <w:p>
      <w:r>
        <w:t>L'art. 117 CP (Code pénal suisse du 21 décembre 1937 ;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 TF 6B_512/2010 du 26 octobre 2010 consid. 2.1).</w:t>
      </w:r>
    </w:p>
    <w:p>
      <w:r>
        <w:t>- 17 -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122 IV 133 consid. 2a). La négligence doit être en relation de causalité avec les lésions subies par la victime. Un comportement est la cause naturelle d'un résultat s'il en constitue l'une des conditions sine qua non, c'est-à-dire si, sans lui, le résultat ne se serait pas produit (ATF 133 IV 158 consid. 6.1 ; ATF 125 IV 195 consid. 2b). Lorsque la causalité naturelle est établie, il faut encore rechercher si le comportement incriminé est la cause adéquate du résultat. Tel est le cas si, d'après le cours ordinaire des choses et l'expérience de la vie, le comportement était propre à entraîner un résultat du genre de celui qui s'est produit (ATF 138 IV 57 consid.</w:t>
      </w:r>
    </w:p>
    <w:p>
      <w:r>
        <w:rPr>
          <w:b/>
        </w:rPr>
        <w:t>E. 4.1.3</w:t>
      </w:r>
    </w:p>
    <w:p>
      <w:r>
        <w:t>; ATF 133 IV 158 consid. 6.1 ; ATF 131 IV 145 consid. 2b).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w:t>
      </w:r>
    </w:p>
    <w:p>
      <w:r>
        <w:t>- 18 -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En soi, la présence d'un piéton au bord d'une route, même de nuit et en dehors d'un passage à piétons, ne constitue certes pas un événement si imprévisible qu'on ne peut s'y attendre. Un conducteur n'a en revanche pas à compter avec le fait qu'au milieu de la nuit, en dehors d'une localité et sur une route faiblement éclairée, un piéton qui chemine le long de la route s'élance soudainement sur la chaussée devant son véhicule (TF 6B.287/2004 du 24 septembre 2004 consid. 2.5).</w:t>
      </w:r>
    </w:p>
    <w:p>
      <w:r>
        <w:rPr>
          <w:b/>
        </w:rPr>
        <w:t>E. 4.2</w:t>
      </w:r>
    </w:p>
    <w:p>
      <w:r>
        <w:t>En l’espèce, X.________ a violé un devoir de prudence. Au moment de l’accident, il regardait en direction de sa passagère, de sorte qu’il était inattentif. En raison de la violation de son devoir de prudence, l’intimé n’a pu éviter la victime et a heurté celle-ci, causant son décès. Le lien de causalité naturelle est donc incontestable. Cela étant, compte tenu du doute qui existe au sujet des intentions de A.B.________, lequel doit profiter à l’intimé, on ne peut exclure que cette dernière se soit élancée en direction du véhicule de ce dernier pour mettre fin à ses jours. Ainsi, en application du principe de la présomption d’innocence, on doit admettre que le comportement qu’a pu adopter la victime rompt le lien de causalité adéquate entre la violation du devoir de prudence par X.________ et le résultat intervenu, soit le décès de la victime. En effet, conformément à la jurisprudence susmentionnée, le prénommé, qui se trouvait alors en dehors d’une localité et sur un tronçon non éclairé, n’avait pas à compter avec le fait que A.B.________, masquée par le muret et la clôture métallique ceignant le cimetière de [...], se précipite soudainement sur la chaussée.</w:t>
      </w:r>
    </w:p>
    <w:p>
      <w:r>
        <w:t>- 19 - Au surplus, comme l’a relevé le premier juge, une rupture du lien de causalité doit être admise quelque eu été les intentions de la victime. Au vu de la configuration des lieux et de la luminosité, et dans la mesure où A.B.________ était située au débouché du chemin [...] et masquée par un obstacle avant la collision, X.________ n’aurait pu apercevoir cette dernière, peut-être partiellement visible sur le débouché du chemin [...], que quelques instants avant le choc, comme le relève d’ailleurs la passagère du prénommé (cf. jgt, p. 13 ; P. 15 ; P. 25, photo n° 2, 3, 6 et 7 ; jgt, pp. 23-24, sur les constatations de l’inspection locale). Ainsi, même s’il avait été attentif et complétement sobre, l’intimé, qui arrivait à une vitesse de 80 km/h, n’aurait de toute manière pas eu le temps, compte tenu d’un temps de réaction d’une seconde, de freiner et de s’arrêter sur la distance le séparant de cette dernière. A l’inverse, on rappelle que, dès lors qu’il faisait nuit, A.B.________ a dû voir les phares du véhicule s’avancer dans sa direction et entendre le bruit du moteur de celui-ci. Pour le reste, la rupture du lien de causalité devant être admise pour les motifs qui précèdent, il n’y a pas lieu d’examiner si X.________ pouvait ou non bénéficier du principe de la confiance. Dans ces circonstances, c’est à juste titre que le premier juge a libéré X.________ de l’infraction d’homicide par négligence.</w:t>
      </w:r>
    </w:p>
    <w:p>
      <w:r>
        <w:rPr>
          <w:b/>
        </w:rPr>
        <w:t>E. 5</w:t>
      </w:r>
    </w:p>
    <w:p>
      <w:r>
        <w:t>Les appelants ont pris des conclusions civiles (art. 126 al. 1 CPP). Cependant, X.________ a été acquitté de l’infraction d’homicide par négligence, de sorte que ces conclusions civiles doivent être rejetées. Pour les mêmes motifs, leurs conclusions en allocation de dépens pour la procédure de première instance doivent également être rejetées (art. 433 CPP).</w:t>
      </w:r>
    </w:p>
    <w:p>
      <w:r>
        <w:rPr>
          <w:b/>
        </w:rPr>
        <w:t>E. 6</w:t>
      </w:r>
    </w:p>
    <w:p>
      <w:r>
        <w:t>En définitive, l’appel doit être rejeté et le jugement attaqué confirmé intégralement.</w:t>
      </w:r>
    </w:p>
    <w:p>
      <w:r>
        <w:t>- 20 - Vu l’issue de la cause, les frais de la procédure d’appel, constitués en l’espèce de l’émolument du jugement, par 1’610 fr. (art. 21 al. 1 et 2 TFIP [Tarif des frais de procédure et indemnités en matière pénale du 28 septembre 2010 ; RSV 312.03.1]), seront laissés à la charge de l’Etat (art. 423 et 425 CPP). L’intimé a droit à une indemnité pour les dépenses occasionnées par la procédure d’appel (art. 429 al. 1 let. a et 436 al. 1 CPP). Compte tenu de la liste d’opérations produite par le défenseur de ce dernier, dont il n’y a pas lieu de s’écarter, et de la complexité de la cause, de difficulté moyenne, il y a lieu de retenir 8 heures et 40 minutes d’activité d’avocat au tarif horaire de 300 fr., des débours pour 150 fr. et un montant correspondant à la TVA. Ainsi, c’est une indemnité de 2'961 fr. 75, débours et TVA compris, qui sera allouée à l’intimé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