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PE16.014036 vom 24. Januar 2017</w:t>
      </w:r>
    </w:p>
    <w:p>
      <w:r>
        <w:t>VD Tribunal cantonal, 2017-01-24, FR</w:t>
      </w:r>
    </w:p>
    <w:p>
      <w:r>
        <w:rPr>
          <w:b/>
        </w:rPr>
        <w:t xml:space="preserve">Quelle: </w:t>
      </w:r>
      <w:r>
        <w:t>https://mcp.opencaselaw.ch/entscheid/vd_gerichte_PE16.014036</w:t>
      </w:r>
    </w:p>
    <w:p>
      <w:r>
        <w:t>FR: VD_GERICHTE PE16.014036 du 24 janvier 2017</w:t>
      </w:r>
    </w:p>
    <w:p>
      <w:r>
        <w:t>IT: VD_GERICHTE PE16.014036 del 24 gennaio 2017</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 RSV 312.01] ; art. 80 LOJV [loi d’organisation judiciaire ; RSV 173.01]). En l’espèce, interjeté en temps utile devant l’autorité compétente par les parties plaignantes qui ont qualité pour recourir (art. 382 al. 1 CPP) et satisfaisant aux conditions de forme prescrites (art. 385 al. 1 CP),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 RS 101] et 2 al. 2 CPP en relation avec les art. 319 al. 1 et 324 CPP ;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Le ministère</w:t>
      </w:r>
    </w:p>
    <w:p>
      <w:r>
        <w:t>- 6 -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ATF 138 IV 186 consid. 4.1 ; ATF 137 IV 285 consid. 2.5).</w:t>
      </w:r>
    </w:p>
    <w:p>
      <w:r>
        <w:rPr>
          <w:b/>
        </w:rPr>
        <w:t>E. 3.1</w:t>
      </w:r>
    </w:p>
    <w:p>
      <w:r>
        <w:t>Les recourantes ne remettent pas en cause l’ordonnance de non-entrée en matière en tant qu’elle concerne les infractions à la LDA et à la LCD. Elles soutiennent en revanche que le dossier renfermerait suffisamment d’éléments pour qu’une instruction pénale soit ouverte du chef d’escroquerie, respectivement d’atteinte astucieuse aux intérêts pécuniaires d’autrui.</w:t>
      </w:r>
    </w:p>
    <w:p>
      <w:r>
        <w:rPr>
          <w:b/>
        </w:rPr>
        <w:t>E. 3.2.1</w:t>
      </w:r>
    </w:p>
    <w:p>
      <w:r>
        <w:t>Selon l'art. 146 al. 1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 ATF 128 IV 18 consid.</w:t>
      </w:r>
    </w:p>
    <w:p>
      <w:r>
        <w:t>- 7 - 3a).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Une tromperie portant sur la volonté d’exécuter un contrat est susceptible d’être astucieuse, dans la mesure où la vérification de la capacité et la volonté d’exécution ne peut être exigée de la dupe. Tel est par exemple le cas des opérations courantes de faibles valeurs dont la vérification entraînerait des frais ou une perte de temps disproportionnés ou ne pourrait être exigée pour des raisons commerciales. Si l’on ne peut certes exiger de la dupe une vérification de la volonté qui, par définition, est interne, celle-ci doit néanmoins procéder à des vérifications quant à la capacité de l’auteur d’exécuter le contrat convenu, l’absence de volonté pouvant également être déduite du fait que, par le passé déjà, l’escroc n’avait pas tenu ses engagements (Dupuis et al., Petit Commentaire du Code pénal, Bâle 2012, n. 15 ad art. 146 CP, p. 834, et les références citées).</w:t>
      </w:r>
    </w:p>
    <w:p>
      <w:r>
        <w:rPr>
          <w:b/>
        </w:rPr>
        <w:t>E. 3.2.2</w:t>
      </w:r>
    </w:p>
    <w:p>
      <w:r>
        <w:t>L’infraction d’atteinte astucieuse aux intérêts pécuniaires d’autrui au sens de l’art. 151 CP correspond à une escroquerie sans dessein d’enrichissement illégitime (Dupuis et al., op. cit, n. 1 ad art. 151 CP et l’auteur cité). Elle a un caractère subsidiaire à l’infraction d’escroquerie visée à l’art. 146 CP (ATF 134 IV 210, JdT 2009 I 578).</w:t>
      </w:r>
    </w:p>
    <w:p>
      <w:r>
        <w:rPr>
          <w:b/>
        </w:rPr>
        <w:t>E. 3.3</w:t>
      </w:r>
    </w:p>
    <w:p>
      <w:r>
        <w:t>En l’espèce, les recourantes n’allèguent pas qu’elles auraient déjà collaboré avec les prévenus par le passé. Cette circonstance devait les inciter à une certaine prudence, d’autant plus qu’il s’agissait d’un projet immobilier de grande envergure. Les recourantes font valoir que les prévenus n’auraient pas annoncé qu’ils financeraient eux-mêmes</w:t>
      </w:r>
    </w:p>
    <w:p>
      <w:r>
        <w:t>- 8 - l’opération. Ceux-ci apparaissent ainsi avoir agi uniquement en qualité d’intermédiaires pour le compte d’un investisseur étranger. Il est vrai que le bref délai pour déposer le dossier de mise à l’enquête publique laissait peu de temps aux recourantes pour se déterminer sur la conclusion d’un contrat avec les prévenus. Il leur appartenait toutefois d’exiger des renseignements aussi précis que possible sur le fonds d’investissement étranger évoqué par les prévenus, de demander la conclusion d’un contrat écrit et de solliciter certaines garanties de paiement. De plus, il leur était loisible, même si ce n’est peut-être pas l’usage dans un contrat d’entreprise ou dans un contrat de mandat, de recueillir des informations sur la situation financière de W.________, O.________ et X.________ SA auprès de l’Office des poursuites. Par ailleurs, un contrôle au Registre du commerce leur aurait appris que la société V.________ AG n’avait aucun lieu avec la société [...], qui fait partie du groupe [...], et qu’elle était en réalité détenue par W.________ (P. 6/22). Les recourantes ne sauraient invoquer l’âge de A.G.________ (né en 1946) pour expliquer ce manque de précautions élémentaires. En effet, elles n’allèguent pas que les capacités du prénommé, qui était tout de même rompu aux affaires, auraient été altérées de quelque manière que ce soit à l’époque des pourparlers avec les prévenus. Il convient d’ajouter que les acomptes de 121'000 fr. et 79'000 fr., prévus par le contrat de vente conditionnelle du 12 janvier 2015 conclu par X.________ SA, ont effectivement été payés. Cette dernière circonstance tend à démontrer que les prévenus, s’ils ont certes pris des risques, avaient réellement l’intention de voir aboutir un projet qui s’inscrivait dans la perspective du développement d’un secteur en pleine expansion et suscitait un réel enthousiasme dans la région. Il y a lieu, d’ailleurs, de ne pas perdre de vue, que les prévenus ne se sont pas engagés à avancer personnellement les fonds, si bien que l’on ne se trouve pas dans l’hypothèse où la partie contractante savait dès le départ qu’elle n’exécuterait pas ses obligations. Ce qui paraît probable, c’est que les investisseurs étrangers se soient détournés de l’affaire au dernier moment. En tout état de cause, la thèse soutenue par les recourantes – au demeurant peu étayée –, selon laquelle les prévenus auraient usé d’un</w:t>
      </w:r>
    </w:p>
    <w:p>
      <w:r>
        <w:t>- 9 - stratagème visant à obtenir le permis de construire et à valoriser les terrains sans bourse délier, doit être écartée. Il résulte de ce qui précède que l’astuce – élément constitutif objectif des infractions d’escroquerie et d’atteinte astucieuse aux intérêts pécuniaires d’autrui – fait défaut. C’est par conséquent à juste titre que le Ministère public a rendu une ordonnance de non-entrée en matière.</w:t>
      </w:r>
    </w:p>
    <w:p>
      <w:r>
        <w:rPr>
          <w:b/>
        </w:rPr>
        <w:t>E. 4</w:t>
      </w:r>
    </w:p>
    <w:p>
      <w:r>
        <w:t>En définitive, le recours doit être rejeté, sans autres échanges d’écritures, et l’ordonnance de non-entrée en matière du 5 décembre 2016 confirmée. Les frais de la procédure de recours, constitués en l'espèce du seul émolument d'arrêt, par 880 fr. (art. 422 al. 1 CPP et 20 al. 1 TFIP [Tarif des frais de procédure et indemnités en matière pénale du 28 septembre 2010 ; RSV 312.03.1]), seront mis à la charge des recourantes, qui succombent (art. 428 al. 1 CPP), à parts égales, soit 440 fr., et solidairement entre elles (art. 418 al. 2 CPP) : Par ces motifs, la Chambre des recours pénale prononce : I. Le recours est rejeté. II. L’ordonnance du 5 décembre 2016 est confirmée. III. Les frais d’arrêt, par 880 fr. (huit cent huitante francs), sont mis à la charge de A.G.________ SA et Y.________ SA, à parts égales, soit par 440 fr. (quatre cent quarante francs) chacune, et solidairement entre elles. IV. L’arrêt est exécutoire. Le président : Le greffier :</w:t>
      </w:r>
    </w:p>
    <w:p>
      <w:r>
        <w:t>- 10 - Du Le présent arrêt, dont la rédaction a été approuvée à huis clos, est notifié, par l'envoi d'une copie complète, à : - Me Frank Tièche, avocat (pour A.G.________ SA et Y.________ SA),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