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PE16.013878 vom 24. Mai 2018</w:t>
      </w:r>
    </w:p>
    <w:p>
      <w:r>
        <w:t>VD Tribunal cantonal, 2018-05-24, FR</w:t>
      </w:r>
    </w:p>
    <w:p>
      <w:r>
        <w:rPr>
          <w:b/>
        </w:rPr>
        <w:t xml:space="preserve">Quelle: </w:t>
      </w:r>
      <w:r>
        <w:t>https://mcp.opencaselaw.ch/entscheid/vd_gerichte_PE16.013878</w:t>
      </w:r>
    </w:p>
    <w:p>
      <w:r>
        <w:t>FR: VD_GERICHTE PE16.013878 du 24 mai 2018</w:t>
      </w:r>
    </w:p>
    <w:p>
      <w:r>
        <w:t>IT: VD_GERICHTE PE16.013878 del 24 maggio 2018</w:t>
      </w:r>
    </w:p>
    <w:p>
      <w:pPr>
        <w:pStyle w:val="Heading2"/>
      </w:pPr>
      <w:r>
        <w:t>Erwägungen</w:t>
      </w:r>
    </w:p>
    <w:p>
      <w:r>
        <w:rPr>
          <w:b/>
        </w:rPr>
        <w:t>E. 4.1</w:t>
      </w:r>
    </w:p>
    <w:p>
      <w:r>
        <w:t>L’appelant nie être l’auteur des blessures constatées sur X.________ par certificat médical du 27 avril 2012. Cette pièce ne permettrait selon lui pas de constater un lien de causalité entre les lésions et les coups qui lui sont reprochés, dès lors que ce certificat n’indique aucunement la cause des contusions. Selon lui, les blessures de X.________ auraient pu survenir d’autres manières. Il invoque ainsi le principe de la présomption d’innocence.</w:t>
      </w:r>
    </w:p>
    <w:p>
      <w:r>
        <w:rPr>
          <w:b/>
        </w:rPr>
        <w:t>E. 4.2.1</w:t>
      </w:r>
    </w:p>
    <w:p>
      <w:r>
        <w:t>Aux termes de l’art. 123 ch. 1 CP (Code pénal suisse du 21 décembre 1937 ; RS 311.0), celui qui, intentionnellement, aura fait subir à une personne une autre atteinte à l’intégrité corporelle ou à la santé sera, sur plainte, puni d’une peine privative de liberté de trois ans au plus ou d’une peine pécuniaire. L'art. 123 ch. 2 al. 3 CP vise le cas où l'auteur est le conjoint de la victime et que l’atteinte a été commise durant le mariage ou l’année qui a suivi le divorce ; dans ce cas de figure, la poursuite a lieu d’office.</w:t>
      </w:r>
    </w:p>
    <w:p>
      <w:r>
        <w:t>- 13 - L'art. 123 CP réprime les lésions du corps humain ou de la santé qui ne peuvent être qualifiées de graves au sens de l'art. 122 CP. Cette disposition protège l'intégrité corporelle et la santé tant physique que psychique. A titre d'exemples, la jurisprudence cite notamment les blessures, les meurtrissures, les écorchures ou les griffures, sauf si ces lésions n'ont pas d'autres conséquences qu'un trouble passager et sans importance du sentiment de bien-être (ATF 134 IV 189 consid. 1.1 et les arrêts cités).</w:t>
      </w:r>
    </w:p>
    <w:p>
      <w:r>
        <w:rPr>
          <w:b/>
        </w:rPr>
        <w:t>E. 4.2.2</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w:t>
      </w:r>
    </w:p>
    <w:p>
      <w:r>
        <w:t>- 14 - doutes ; on parle alors de doutes raisonnables (cf. ATF 120 la 31 consid. 2c ;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et les références citées).</w:t>
      </w:r>
    </w:p>
    <w:p>
      <w:r>
        <w:rPr>
          <w:b/>
        </w:rPr>
        <w:t>E. 4.3</w:t>
      </w:r>
    </w:p>
    <w:p>
      <w:r>
        <w:t>En l’espèce, la Cour de céans estime qu’un doute subsiste quant à la réalité des coups que la partie plaignante prétend avoir reçus de la part de son conjoint. En effet, le certificat médical du 27 avril 2012 (P. 7) n’a pas été établi en tant que certificat pour coups et blessures ; il ne fait d’ailleurs pas mention de la cause des contusions et de la griffure, ni de la date de leur survenance. On ne peut donc pas avoir la certitude que ces lésions résulteraient de coups administrés par le prévenu. Il s’agit en effet d’une possibilité parmi d’autres, comme l’a relevé l’appelant, qui</w:t>
      </w:r>
    </w:p>
    <w:p>
      <w:r>
        <w:t>- 15 - soutient que son épouse pratiquait le vélo et la trottinette et aurait pu faire une mauvaise chute à cette occasion. Par ailleurs, une attestation du Centre d’accueil de Malley Prairie figurant au dossier ne fait pas état du contenu des déclarations de X.________. On sait uniquement qu’elle a pris contact téléphoniquement avec le centre ambulatoire le 2 mai 2012 (P. 18/1), ce qui ne permet pas d’en déduire qu’elle aurait subi des violences de la part de son mari. On relèvera également que la partie plaignante a indiqué, lors de son audition au Ministère public du 21 octobre 2016, que les coups avaient été administrés alors qu’elle et son mari se trouvaient debout (PV aud. 1, p. 3). Il apparaît toutefois insolite, peu naturel et peu vraisemblable que le prévenu ait frappé les cuisses et le genou de son épouse avec ses poings, soit le bas de son corps au lieu de diriger ses poings vers le haut du corps, puis qu’il lui ait occasionné une griffure sur l’épaule à l’aide d’un outil tel qu’un tournevis, l’usage d’un tel outil pour griffer à cet endroit paraissant également inhabituel, voire étrange. On remarquera encore que cette griffure était en voie de cicatrisation au moment de l’établissement du certificat médical, alors qu’un hématome sur le ventre était en phase de formation (P. 7) ; la simultanéité des lésions en cause est ainsi douteuse. Comme l’a soutenu l’appelant, il est possible que la partie plaignante ait tenté de relier un certificat médical – obtenu dans d’autres circonstances – avec l’invocation de violences conjugales, ceci aux fins d’assurer son statut en droit des étrangers après sa séparation d’avec son conjoint. En effet, l’attestation du Centre social protestant indique que lors de la consultation du 23 mai 2012, X.________ était notamment venue s’enquérir de questions liées au droit des étrangers (P. 18/2). Il est ainsi plausible que la partie plaignante ait envisagé le fait qu’une reconnaissance en qualité de victime puisse lui être favorable sur le plan administratif.</w:t>
      </w:r>
    </w:p>
    <w:p>
      <w:r>
        <w:t>- 16 - Au vu de ce qui précède, le doute devant profiter à l’accusé, F.________ sera libéré du chef de prévention de lésions corporelles simples qualifiées.</w:t>
      </w:r>
    </w:p>
    <w:p>
      <w:r>
        <w:rPr>
          <w:b/>
        </w:rPr>
        <w:t>E. 4.4</w:t>
      </w:r>
    </w:p>
    <w:p>
      <w:r>
        <w:t>Les conclusions civiles étant subordonnées à un jugement de culpabilité qui n’a pas lieu d’être en l’espèce, les prétentions de X.________ doivent être renvoyées au juge civil (art. 126 al. 2 let. b CPP).</w:t>
      </w:r>
    </w:p>
    <w:p>
      <w:r>
        <w:rPr>
          <w:b/>
        </w:rPr>
        <w:t>E. 5</w:t>
      </w:r>
    </w:p>
    <w:p>
      <w:r>
        <w:t>En définitive, l’appel est admis et le jugement réformé dans le sens des considérants. Vu l’issue de l’appel, les frais de la procédure de première instance seront laissés à la charge de l’Etat (art. 428 al. 3 CPP). Il est en effet renoncé de mettre à la charge de F.________ les frais relatifs à la contravention à la Loi fédérale sur les stupéfiants, dès lors que l’appelant n’a pas pris de conclusion en octroi d’une indemnité fondée sur l’art. 429 CPP, nonobstant le paragraphe figurant dans sa citation à comparaître du 30 juillet 2018 l’enjoignant de chiffrer et de justifier ses éventuelles prétentions en allocation d’une indemnité de l’art. 429 CPP. S’agissant des frais de la procédure d’appel, par 1’800 fr. (art. 21 al. 1 et 2 TFJP [tarif des frais de procédure et indemnités en matière pénale du 28 septembre 2010 ; RSV 312.03.1]), ils seront laissés à la charge de l’Etat (art. 428 al. 4 CPP). L’intimée X.________ ne peut pas prétendre à des dépens, puisqu’elle succombe (art. 433 al. 1 CPP a contrario).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