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PE16.013652 vom 7. Juli 2017</w:t>
      </w:r>
    </w:p>
    <w:p>
      <w:r>
        <w:t>VD Tribunal cantonal, 2017-07-07, FR</w:t>
      </w:r>
    </w:p>
    <w:p>
      <w:r>
        <w:rPr>
          <w:b/>
        </w:rPr>
        <w:t xml:space="preserve">Quelle: </w:t>
      </w:r>
      <w:r>
        <w:t>https://mcp.opencaselaw.ch/entscheid/vd_gerichte_PE16.013652</w:t>
      </w:r>
    </w:p>
    <w:p>
      <w:r>
        <w:t>FR: VD_GERICHTE PE16.013652 du 7 juillet 2017</w:t>
      </w:r>
    </w:p>
    <w:p>
      <w:r>
        <w:t>IT: VD_GERICHTE PE16.013652 del 7 luglio 2017</w:t>
      </w:r>
    </w:p>
    <w:p>
      <w:pPr>
        <w:pStyle w:val="Heading2"/>
      </w:pPr>
      <w:r>
        <w:t>Volltext</w:t>
      </w:r>
    </w:p>
    <w:p>
      <w:r>
        <w:t>TRIBUNAL CANTONAL 456 PE16.013652-PHK CHAMBRE DE S RECO URS PEN ALE __________________________________________ Arrêt du 7 juillet 2017 __________________ Composition : M. MAILLARD, président MM. Meylan et Perrot, juges Greffière : Mme Cattin ***** Art. 221 al. 1 let. c et al. 2, 222 et 393 al. 1 let. c CPP Statuant sur le recours interjeté le 5 juillet 2017 par W.________ contre l’ordonnance de refus de la libération de la détention provisoire rendue le 23 juin 2017 par le Tribunal des mesures de contrainte dans la cause n° PE16.013652-PHK, la Chambre des recours pénale considère : En fait : A. Le Ministère public de l'arrondissement de La Côte a ouvert une instruction pénale contre W.________ pour tentative de meurtre et lésions corporelles simples qualifiées. Il est reproché à l'intéressé d'avoir, dans la nuit du 9 au 10 juillet 2016, agressé son épouse, Z.________, soit de 351</w:t>
      </w:r>
    </w:p>
    <w:p>
      <w:r>
        <w:t>- 2 - l'avoir frappée plusieurs fois à la tête avec un manche de hache, à la fois pendant son sommeil et après qu'elle se fut réveillée. Alors que la victime, toujours dans son lit, tentait de se protéger des coups de son époux à l'aide de son bras gauche, le prévenu se serait assis sur elle et, tandis qu'elle le suppliait d'arrêter, lui aurait écarté la bouche avec ses mains. Puis, il aurait mis ces dernières autour du cou d’Z.________ et aurait serré fort. Après un certain temps, il aurait finalement lâché prise. La victime, bien qu'ayant perdu beaucoup de sang, a pu ensuite se réfugier dans la salle de bains et a appelé la police. W.________ a été appréhendé le 10 juillet 2016, puis placé en détention provisoire par ordonnance du 12 juillet 2016 du Tribunal des mesures de contrainte. Sa détention provisoire a été prolongée par ordonnance du 3 octobre 2016, jusqu'au 10 janvier 2017. Par ordonnance du 6 janvier 2017, le Tribunal des mesures de contrainte a prolongé la détention provisoire de W.________ jusqu’au 10 avril 2017. Cette ordonnance a été confirmée par la Chambre des recours pénale par arrêt du 17 janvier 2017. Par ordonnance du 7 avril 2017, le Tribunal des mesures de contrainte a prolongé la détention provisoire de l’intéressé jusqu’au 10 juillet 2017. Cette ordonnance a été confirmée par la Chambre des recours pénale par arrêt du 24 avril 2017. B. Le 7 juin 2017, W.________ a requis sa libération immédiate. Dans sa prise de position du 14 juin 2017, le Ministère public a conclu au rejet de la requête de libération de la détention provisoire. Par ordonnance du 23 juin 2017, le Tribunal des mesures de contrainte a rejeté la demande de libération de la détention provisoire de W.________.</w:t>
      </w:r>
    </w:p>
    <w:p>
      <w:r>
        <w:t>- 3 - C. Par ordonnance du 5 juillet 2017, le Tribunal des mesures de contrainte a ordonné la prolongation de la détention provisoire de W.________ pour une durée de deux mois, soit au plus tard jusqu’au 10 septembre 2017. D. Par acte daté du 29 juin 2017 mais posté le 4 juillet 2017, W.________, agissant seul, a recouru auprès de la Chambre des recours pénale du Tribunal cantonal contre l’ordonnance de refus de la libération de la détention provisoire du 23 juin 2017, concluant implicitement à sa libération immédiate.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W.________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- 4 -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2.2 En l’espèce, il existe des soupçons suffisants de culpabilité à l’encontre de W.________, ce que celui-ci ne conteste d’ailleurs pas. En effet, le recourant a notamment admis avoir frappé à plusieurs reprises son épouse sur la tête avec un manche en bois et l’avoir serrée au cou (PV aud. 10, p. 3 ; PV aud. 12, pp. 2 s.). Le rapport du CURML du 15 août 2016 fait en outre état de plusieurs lésions sur le cuir chevelu de la victime et d’ecchymoses, lesquelles sont compatibles avec les faits reprochés au prévenu (P. 36). 3. 3.1 Le recourant conteste l’existence d’un risque de réitération et de passage à l’acte. 3.2 L'art. 221 al. 1 let. c CPP pose trois conditions pour admettre un risque de récidive. En premier lieu, le prévenu doit en principe déjà avoir commis des infractions du même genre (pour une exception à cette exigence, cf. consid. 3.1.2 ci-après) et il doit s'agir de crimes ou de délits graves. Deuxièmement, la sécurité d'autrui doit être sérieusement compromise. Troisièmement, une réitération doit, sur la base d'un pronostic, être sérieusement à craindre (ATF 143 IV 9 consid. 2.5).</w:t>
      </w:r>
    </w:p>
    <w:p>
      <w:r>
        <w:t>- 5 - 3.2.1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par exemple lorsque celles-ci sont commises en bande et par métier dans le cadre d'un trafic de cannabis d'une certaine envergure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w:t>
      </w:r>
    </w:p>
    <w:p>
      <w:r>
        <w:t>- 6 - Dès lors, un pronostic défavorable est nécessaire – et en principe également suffisant – pour admettre l'existence d'un tel risque (ATF 143 IV 9 consid. 2.9). 3.2.2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 3.3 En l’espèce, il ressort du rapport d’expertise psychiatrique du 1er juin 2017 que le recourant souffre d’un probable trouble du comportement en sommeil paradoxal, d’un syndrome frontal ainsi que d’une possible démence sans précision. Celui-ci présente également des traits de personnalité paranoïaque. Les experts ont relevé que le recourant présentait des pathologies neurologiques qui nécessitaient des investigations plus approfondies et que le risque de récidive ne pouvait, dans ces circonstances, être exclu. De plus, les proches du recourant ont tous relevé son caractère violent et impulsif ainsi que les violences domestiques dont il aurait été l’auteur par le passé, même si elles n’ont pas été dénoncées pénalement. Compte tenu de la gravité des faits reprochés, de l’instabilité psychique du recourant et des intérêts juridiquement protégés en cause, à savoir l’intégrité physique et la vie, le risque de réitération et de passage à l’acte est manifestement réalisé. 3.4 La détention pour des motifs de sûreté étant justifiée par le seul risque de réitération et de passage à l’acte, il n'est pas nécessaire</w:t>
      </w:r>
    </w:p>
    <w:p>
      <w:r>
        <w:t>- 7 - d’examiner l'existence du risque de fuite (TF 1B_249/2011 du 7 juin 2011 consid. 2.4), contesté brièvement par le recourant à l’appui de son recours. 3.5 3.5.1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à l’art. 237 CPP sont un succédané à la détention provisoire ou pour des motifs de sûreté ;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 3.5.2 En l’espèce, aucune mesure de substitution n’est à même de prévenir le risque retenu. En particulier, le fait de vivre chez sa sœur, d’appeler « un bureau administratif » périodiquement, de chercher un psychothérapeute ou de porter le bracelet électronique, n’est pas de nature à empêcher le recourant de commettre de nouvelles infractions et est donc insuffisant pour parer au risque de récidive et de passage à l’acte au vu des intérêts juridiques à protéger. Les experts sont en effet encore indécis quant à un éventuel traitement et précisent que le recourant a besoin de soins et d’investigations dans un milieu qui le protège, tant lui que ses proches, d’une récidive d’actes de violence en lien avec son trouble du sommeil. 4. 4.1 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w:t>
      </w:r>
    </w:p>
    <w:p>
      <w:r>
        <w:t>- 8 -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4.2 En l’espèce, le recourant est détenu depuis le 10 juillet 2016, soit depuis une année. Compte tenu de la gravité des infractions qui lui sont reprochées, il s'expose à une peine d’une durée supérieure à celle de la détention provisoire subie à ce jour. Il n’est par ailleurs pas établi que la maladie psychique dont souffre le recourant nécessiterait des soins médicaux non compatibles avec une incarcération (TF 6B_511/2013 du 17 septembre 2013 consid 2.1). Le principe de la proportionnalité demeure donc respecté. 5. Il résulte de ce qui précède que le recours, manifestement mal fondé, doit être rejeté sans autre échange d’écritures (art. 390 al. 2 CPP). Les frais de la procédure de recours, constitués en l’espèce du seul émolument d'arrêt, par 880 fr. (art. 20 al. 1 TFIP [tarif des frais de procédure et indemnités en matière pénale du 28 septembre 2010 ; RSV 312.03.1]), seront mis à la charge de W.________, qui succombe (art. 428 al. 1 CPP). Par ces motifs, la Chambre des recours pénale prononce : I. Le recours est rejeté. II. L’ordonnance du 23 juin 2017 est confirmée.</w:t>
      </w:r>
    </w:p>
    <w:p>
      <w:r>
        <w:t>- 9 - III. Les frais d’arrêt, par 880 fr. (huit cent huitante francs), sont mis à la charge de W.________. IV. L’arrêt est exécutoire. Le président : La greffière : Du Le présent arrêt, dont la rédaction a été approuvée à huis clos, est notifié, par l'envoi d'une copie complète, à : - Me Laurent Gilliard, avocat (pour W.________),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